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B7" w:rsidRPr="00D2122B" w:rsidRDefault="00891777" w:rsidP="00891777">
      <w:pPr>
        <w:pStyle w:val="a3"/>
        <w:jc w:val="center"/>
        <w:rPr>
          <w:rFonts w:ascii="PT Astra Serif" w:hAnsi="PT Astra Serif"/>
          <w:b/>
          <w:sz w:val="24"/>
          <w:szCs w:val="24"/>
        </w:rPr>
      </w:pPr>
      <w:bookmarkStart w:id="0" w:name="_GoBack"/>
      <w:bookmarkEnd w:id="0"/>
      <w:r w:rsidRPr="00D2122B">
        <w:rPr>
          <w:rFonts w:ascii="PT Astra Serif" w:hAnsi="PT Astra Serif"/>
          <w:b/>
          <w:sz w:val="24"/>
          <w:szCs w:val="24"/>
        </w:rPr>
        <w:t xml:space="preserve">Информационно-статистические данные по итогам основного периода государственной итоговой аттестации </w:t>
      </w:r>
      <w:r w:rsidR="001F1763" w:rsidRPr="00D2122B">
        <w:rPr>
          <w:rFonts w:ascii="PT Astra Serif" w:hAnsi="PT Astra Serif"/>
          <w:b/>
          <w:sz w:val="24"/>
          <w:szCs w:val="24"/>
        </w:rPr>
        <w:t xml:space="preserve">2023 года </w:t>
      </w:r>
      <w:r w:rsidRPr="00D2122B">
        <w:rPr>
          <w:rFonts w:ascii="PT Astra Serif" w:hAnsi="PT Astra Serif"/>
          <w:b/>
          <w:sz w:val="24"/>
          <w:szCs w:val="24"/>
        </w:rPr>
        <w:t>по основным общеобразовательным программам среднего общего образования</w:t>
      </w:r>
      <w:r w:rsidR="001F1763" w:rsidRPr="00D2122B">
        <w:rPr>
          <w:rFonts w:ascii="PT Astra Serif" w:hAnsi="PT Astra Serif"/>
          <w:b/>
          <w:sz w:val="24"/>
          <w:szCs w:val="24"/>
        </w:rPr>
        <w:t xml:space="preserve"> в общеобразовательных организациях Североуральского городского округа (ЕГЭ).</w:t>
      </w:r>
    </w:p>
    <w:p w:rsidR="00D2122B" w:rsidRPr="00D2122B" w:rsidRDefault="00D2122B" w:rsidP="00891777">
      <w:pPr>
        <w:pStyle w:val="a3"/>
        <w:jc w:val="center"/>
        <w:rPr>
          <w:rFonts w:ascii="PT Astra Serif" w:hAnsi="PT Astra Serif"/>
          <w:sz w:val="24"/>
          <w:szCs w:val="24"/>
        </w:rPr>
      </w:pPr>
    </w:p>
    <w:p w:rsidR="001F1763" w:rsidRDefault="005222F8" w:rsidP="001F1763">
      <w:pPr>
        <w:pStyle w:val="a3"/>
        <w:jc w:val="both"/>
        <w:rPr>
          <w:rFonts w:ascii="PT Astra Serif" w:hAnsi="PT Astra Serif"/>
          <w:sz w:val="26"/>
          <w:szCs w:val="26"/>
        </w:rPr>
      </w:pPr>
      <w:r>
        <w:rPr>
          <w:rFonts w:ascii="PT Astra Serif" w:hAnsi="PT Astra Serif"/>
          <w:sz w:val="24"/>
          <w:szCs w:val="24"/>
        </w:rPr>
        <w:t xml:space="preserve">    </w:t>
      </w:r>
      <w:r w:rsidR="001F1763" w:rsidRPr="00D2122B">
        <w:rPr>
          <w:rFonts w:ascii="PT Astra Serif" w:hAnsi="PT Astra Serif"/>
          <w:sz w:val="26"/>
          <w:szCs w:val="26"/>
        </w:rPr>
        <w:t>Интегральный индекс результатов ГИА-2023 (ЕГЭ) приведен по каждому предмету по каждой школе, по муниципальному образованию и по региону (Свердловская область). Интегральный индекс ГИА</w:t>
      </w:r>
      <w:r w:rsidR="0036281D" w:rsidRPr="00D2122B">
        <w:rPr>
          <w:rFonts w:ascii="PT Astra Serif" w:hAnsi="PT Astra Serif"/>
          <w:sz w:val="26"/>
          <w:szCs w:val="26"/>
        </w:rPr>
        <w:t xml:space="preserve"> является относительной величиной, показывающей, во </w:t>
      </w:r>
      <w:r w:rsidR="001F1763" w:rsidRPr="00D2122B">
        <w:rPr>
          <w:rFonts w:ascii="PT Astra Serif" w:hAnsi="PT Astra Serif"/>
          <w:sz w:val="26"/>
          <w:szCs w:val="26"/>
        </w:rPr>
        <w:t>сколько раз уровень результатов ГИА</w:t>
      </w:r>
      <w:r w:rsidR="0036281D" w:rsidRPr="00D2122B">
        <w:rPr>
          <w:rFonts w:ascii="PT Astra Serif" w:hAnsi="PT Astra Serif"/>
          <w:sz w:val="26"/>
          <w:szCs w:val="26"/>
        </w:rPr>
        <w:t xml:space="preserve"> по конкретному предмету в одной общеобразовательной организации в 2023 году отличается от уровня результатов ГИА по этому же предмету в другой общеобразовательной организации. Интегральный индекс – один из статистических методов выравнивания данных при сравнении показателей, имеющих несопоставимые или слабо сопоставимые характеристики (образовательные организации находятся в </w:t>
      </w:r>
      <w:r w:rsidRPr="00D2122B">
        <w:rPr>
          <w:rFonts w:ascii="PT Astra Serif" w:hAnsi="PT Astra Serif"/>
          <w:sz w:val="26"/>
          <w:szCs w:val="26"/>
        </w:rPr>
        <w:t>различных условиях, количество участников экзамена различно, перевод первичных баллов в отметку имеет свою специфику), поэтому средний балл по предмету и/или наличие очень высоких/очень низких баллов у отдельных участников не являются корректными для сравнения. В свою очередь, выравниванием данных (учет количества участников экзамена, соотношение набранных первичных баллов и максимально возможных первичных баллов) производится расчет такого показателя, как интегральный индекс, и этот показатель становится приемлемой для сравнения характеристикой результатов ГИА. Интегральный индекс – индекс первичных баллов по предмету.</w:t>
      </w:r>
    </w:p>
    <w:p w:rsidR="0054116C" w:rsidRDefault="0054116C" w:rsidP="001F1763">
      <w:pPr>
        <w:pStyle w:val="a3"/>
        <w:jc w:val="both"/>
        <w:rPr>
          <w:rFonts w:ascii="PT Astra Serif" w:hAnsi="PT Astra Serif"/>
          <w:sz w:val="26"/>
          <w:szCs w:val="26"/>
        </w:rPr>
      </w:pPr>
      <w:r>
        <w:rPr>
          <w:rFonts w:ascii="PT Astra Serif" w:hAnsi="PT Astra Serif"/>
          <w:sz w:val="26"/>
          <w:szCs w:val="26"/>
        </w:rPr>
        <w:t>Вычисление интегрального индекса не преследует целей рейтингования образовательных организаций, а рекомендуется для формирования мониторинга качества подготовки обучающихся. Причины того или иного уровня качества подготовки обучающихся – в территории</w:t>
      </w:r>
      <w:r w:rsidR="003A7C94">
        <w:rPr>
          <w:rFonts w:ascii="PT Astra Serif" w:hAnsi="PT Astra Serif"/>
          <w:sz w:val="26"/>
          <w:szCs w:val="26"/>
        </w:rPr>
        <w:t>, где школы находятся в примерно равных условиях – следует далее исследовать более подробно, опираясь на анализ влияющих факторов в каждой конкретной школе.</w:t>
      </w:r>
    </w:p>
    <w:p w:rsidR="003A7C94" w:rsidRDefault="003A7C94" w:rsidP="001F1763">
      <w:pPr>
        <w:pStyle w:val="a3"/>
        <w:jc w:val="both"/>
        <w:rPr>
          <w:rFonts w:ascii="PT Astra Serif" w:hAnsi="PT Astra Serif"/>
          <w:sz w:val="26"/>
          <w:szCs w:val="26"/>
        </w:rPr>
      </w:pPr>
      <w:r>
        <w:rPr>
          <w:rFonts w:ascii="PT Astra Serif" w:hAnsi="PT Astra Serif"/>
          <w:sz w:val="26"/>
          <w:szCs w:val="26"/>
        </w:rPr>
        <w:t>Важно изменение относительной величины интегрального значения от года к году (увеличение или уменьшение, определение причин его изменения), а не разница абсолютных значений каждой школы в общей картине общих значений в территории.</w:t>
      </w:r>
    </w:p>
    <w:p w:rsidR="002F7295" w:rsidRDefault="002F7295" w:rsidP="002F7295">
      <w:pPr>
        <w:pStyle w:val="a3"/>
        <w:jc w:val="both"/>
        <w:rPr>
          <w:rFonts w:ascii="PT Astra Serif" w:hAnsi="PT Astra Serif"/>
          <w:sz w:val="26"/>
          <w:szCs w:val="26"/>
        </w:rPr>
      </w:pPr>
      <w:r>
        <w:rPr>
          <w:rFonts w:ascii="PT Astra Serif" w:hAnsi="PT Astra Serif"/>
          <w:sz w:val="26"/>
          <w:szCs w:val="26"/>
        </w:rPr>
        <w:t>На графиках выделены цветом данные по тем общеобразовательным организациям, у которых индекс результатов отклоняется более чем на 3% от среднего значения по Североуральскому городскому округу (зелёный цвет – выше территориального значения на 3% и более; красный цвет – ниже территориального значения на 3% и более).</w:t>
      </w:r>
    </w:p>
    <w:p w:rsidR="002F7295" w:rsidRDefault="002F7295" w:rsidP="002F7295">
      <w:pPr>
        <w:pStyle w:val="a3"/>
        <w:jc w:val="both"/>
        <w:rPr>
          <w:rFonts w:ascii="PT Astra Serif" w:hAnsi="PT Astra Serif"/>
          <w:sz w:val="26"/>
          <w:szCs w:val="26"/>
        </w:rPr>
      </w:pPr>
      <w:r>
        <w:rPr>
          <w:rFonts w:ascii="PT Astra Serif" w:hAnsi="PT Astra Serif"/>
          <w:sz w:val="26"/>
          <w:szCs w:val="26"/>
        </w:rPr>
        <w:t xml:space="preserve">На графиках: по вертикали – индекс первичных баллов по предмету, по горизонтали – индексы первичных баллов по предмету по каждой школе, </w:t>
      </w:r>
      <w:r w:rsidR="00474116">
        <w:rPr>
          <w:rFonts w:ascii="PT Astra Serif" w:hAnsi="PT Astra Serif"/>
          <w:sz w:val="26"/>
          <w:szCs w:val="26"/>
        </w:rPr>
        <w:t>на горизонтальных графиках показан индекс первичных баллов по предмету по Североуральскому городскому округу, по Свердловской области.</w:t>
      </w:r>
    </w:p>
    <w:p w:rsidR="00D2122B" w:rsidRPr="00D2122B" w:rsidRDefault="00D2122B" w:rsidP="001F1763">
      <w:pPr>
        <w:pStyle w:val="a3"/>
        <w:jc w:val="both"/>
        <w:rPr>
          <w:rFonts w:ascii="PT Astra Serif" w:hAnsi="PT Astra Serif"/>
          <w:sz w:val="26"/>
          <w:szCs w:val="26"/>
        </w:rPr>
      </w:pPr>
      <w:r>
        <w:rPr>
          <w:rFonts w:ascii="PT Astra Serif" w:hAnsi="PT Astra Serif"/>
          <w:sz w:val="26"/>
          <w:szCs w:val="26"/>
        </w:rPr>
        <w:t xml:space="preserve">Расчет данных </w:t>
      </w:r>
      <w:r w:rsidR="002F7295">
        <w:rPr>
          <w:rFonts w:ascii="PT Astra Serif" w:hAnsi="PT Astra Serif"/>
          <w:sz w:val="26"/>
          <w:szCs w:val="26"/>
        </w:rPr>
        <w:t xml:space="preserve">по общеобразовательным организациям </w:t>
      </w:r>
      <w:r>
        <w:rPr>
          <w:rFonts w:ascii="PT Astra Serif" w:hAnsi="PT Astra Serif"/>
          <w:sz w:val="26"/>
          <w:szCs w:val="26"/>
        </w:rPr>
        <w:t>произведен</w:t>
      </w:r>
      <w:r w:rsidR="002F7295">
        <w:rPr>
          <w:rFonts w:ascii="PT Astra Serif" w:hAnsi="PT Astra Serif"/>
          <w:sz w:val="26"/>
          <w:szCs w:val="26"/>
        </w:rPr>
        <w:t xml:space="preserve"> в МБУ СГО «Информационно-методический центр». Расчет данных, произведенный в целом по Североуральскому городскому округу, полностью совпал с данными регионального центра обработки информации и оценки качества образования ГАОУ ДПО СО «ИРО». Индекс первичных баллов по Свердловской области (интегральный индекс по региону) заимствован из Графиков распределения по индексам первичных баллов по итогам результатов ЕГЭ по каждому предмету в разрезе муниципальных образований Свердловской области, размещенных в сборнике ГАОУ ДПО СО «ИРО» «Информационно-статистические материалы по итогам ГИА в 2023 году».</w:t>
      </w:r>
    </w:p>
    <w:p w:rsidR="00891777" w:rsidRDefault="00891777" w:rsidP="00712511">
      <w:pPr>
        <w:pStyle w:val="a3"/>
        <w:rPr>
          <w:rFonts w:ascii="PT Astra Serif" w:hAnsi="PT Astra Serif"/>
        </w:rPr>
      </w:pPr>
    </w:p>
    <w:p w:rsidR="00D2122B" w:rsidRDefault="00D2122B" w:rsidP="00712511">
      <w:pPr>
        <w:pStyle w:val="a3"/>
        <w:rPr>
          <w:rFonts w:ascii="PT Astra Serif" w:hAnsi="PT Astra Serif"/>
        </w:rPr>
      </w:pPr>
    </w:p>
    <w:p w:rsidR="00712511" w:rsidRDefault="00712511" w:rsidP="00DA2A4E">
      <w:pPr>
        <w:pStyle w:val="a3"/>
        <w:jc w:val="center"/>
        <w:rPr>
          <w:rFonts w:ascii="PT Astra Serif" w:hAnsi="PT Astra Serif"/>
        </w:rPr>
      </w:pPr>
      <w:r w:rsidRPr="00A50A71">
        <w:rPr>
          <w:rFonts w:ascii="PT Astra Serif" w:hAnsi="PT Astra Serif"/>
          <w:noProof/>
          <w:lang w:eastAsia="ru-RU"/>
        </w:rPr>
        <w:lastRenderedPageBreak/>
        <w:drawing>
          <wp:inline distT="0" distB="0" distL="0" distR="0">
            <wp:extent cx="6223000" cy="3070747"/>
            <wp:effectExtent l="0" t="0" r="635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54F84" w:rsidRPr="00CE6FD4" w:rsidRDefault="00F54F84" w:rsidP="00712511">
      <w:pPr>
        <w:pStyle w:val="a3"/>
        <w:rPr>
          <w:rFonts w:ascii="PT Astra Serif" w:hAnsi="PT Astra Serif"/>
          <w:sz w:val="16"/>
          <w:szCs w:val="16"/>
        </w:rPr>
      </w:pPr>
    </w:p>
    <w:p w:rsidR="00712511" w:rsidRDefault="00CE1752" w:rsidP="00CE1752">
      <w:pPr>
        <w:pStyle w:val="a3"/>
        <w:jc w:val="center"/>
        <w:rPr>
          <w:rFonts w:ascii="PT Astra Serif" w:hAnsi="PT Astra Serif"/>
        </w:rPr>
      </w:pPr>
      <w:r w:rsidRPr="00B525D7">
        <w:rPr>
          <w:rFonts w:ascii="PT Astra Serif" w:hAnsi="PT Astra Serif"/>
          <w:noProof/>
          <w:color w:val="FF0000"/>
          <w:lang w:eastAsia="ru-RU"/>
        </w:rPr>
        <w:drawing>
          <wp:inline distT="0" distB="0" distL="0" distR="0">
            <wp:extent cx="6308725" cy="3370521"/>
            <wp:effectExtent l="0" t="0" r="1587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12511" w:rsidRPr="00CE6FD4" w:rsidRDefault="00712511" w:rsidP="00712511">
      <w:pPr>
        <w:pStyle w:val="a3"/>
        <w:rPr>
          <w:rFonts w:ascii="PT Astra Serif" w:hAnsi="PT Astra Serif"/>
          <w:sz w:val="16"/>
          <w:szCs w:val="16"/>
        </w:rPr>
      </w:pPr>
    </w:p>
    <w:p w:rsidR="00712511" w:rsidRDefault="00572F56" w:rsidP="00FC031D">
      <w:pPr>
        <w:pStyle w:val="a3"/>
        <w:jc w:val="center"/>
        <w:rPr>
          <w:rFonts w:ascii="PT Astra Serif" w:hAnsi="PT Astra Serif"/>
        </w:rPr>
      </w:pPr>
      <w:r w:rsidRPr="00CE6FD4">
        <w:rPr>
          <w:rFonts w:ascii="PT Astra Serif" w:hAnsi="PT Astra Serif"/>
          <w:noProof/>
          <w:color w:val="7030A0"/>
          <w:lang w:eastAsia="ru-RU"/>
        </w:rPr>
        <w:drawing>
          <wp:inline distT="0" distB="0" distL="0" distR="0" wp14:anchorId="4445E120" wp14:editId="47DA5461">
            <wp:extent cx="6308725" cy="3285460"/>
            <wp:effectExtent l="0" t="0" r="1587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F1EA3" w:rsidRDefault="00DF1EA3" w:rsidP="00DF1EA3">
      <w:pPr>
        <w:pStyle w:val="a3"/>
        <w:jc w:val="center"/>
        <w:rPr>
          <w:rFonts w:ascii="PT Astra Serif" w:hAnsi="PT Astra Serif"/>
        </w:rPr>
      </w:pPr>
      <w:r w:rsidRPr="00CE6FD4">
        <w:rPr>
          <w:rFonts w:ascii="PT Astra Serif" w:hAnsi="PT Astra Serif"/>
          <w:noProof/>
          <w:color w:val="7030A0"/>
          <w:lang w:eastAsia="ru-RU"/>
        </w:rPr>
        <w:lastRenderedPageBreak/>
        <w:drawing>
          <wp:inline distT="0" distB="0" distL="0" distR="0" wp14:anchorId="363ACC32" wp14:editId="08B8731C">
            <wp:extent cx="6308725" cy="3186753"/>
            <wp:effectExtent l="0" t="0" r="15875"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1EA3" w:rsidRPr="00FC031D" w:rsidRDefault="00DF1EA3" w:rsidP="00712511">
      <w:pPr>
        <w:pStyle w:val="a3"/>
        <w:rPr>
          <w:rFonts w:ascii="PT Astra Serif" w:hAnsi="PT Astra Serif"/>
          <w:sz w:val="16"/>
          <w:szCs w:val="16"/>
        </w:rPr>
      </w:pPr>
    </w:p>
    <w:p w:rsidR="00DF1EA3" w:rsidRDefault="00DF1EA3" w:rsidP="00DF1EA3">
      <w:pPr>
        <w:pStyle w:val="a3"/>
        <w:jc w:val="center"/>
        <w:rPr>
          <w:rFonts w:ascii="PT Astra Serif" w:hAnsi="PT Astra Serif"/>
        </w:rPr>
      </w:pPr>
      <w:r w:rsidRPr="00CE6FD4">
        <w:rPr>
          <w:rFonts w:ascii="PT Astra Serif" w:hAnsi="PT Astra Serif"/>
          <w:noProof/>
          <w:color w:val="7030A0"/>
          <w:lang w:eastAsia="ru-RU"/>
        </w:rPr>
        <w:drawing>
          <wp:inline distT="0" distB="0" distL="0" distR="0" wp14:anchorId="5E8892AA" wp14:editId="386F6DB5">
            <wp:extent cx="6308725" cy="3285460"/>
            <wp:effectExtent l="0" t="0" r="1587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1EA3" w:rsidRPr="00FC031D" w:rsidRDefault="00DF1EA3" w:rsidP="00712511">
      <w:pPr>
        <w:pStyle w:val="a3"/>
        <w:rPr>
          <w:rFonts w:ascii="PT Astra Serif" w:hAnsi="PT Astra Serif"/>
          <w:sz w:val="16"/>
          <w:szCs w:val="16"/>
        </w:rPr>
      </w:pPr>
    </w:p>
    <w:p w:rsidR="00FC031D" w:rsidRDefault="00FC031D" w:rsidP="00FC031D">
      <w:pPr>
        <w:pStyle w:val="a3"/>
        <w:jc w:val="center"/>
        <w:rPr>
          <w:rFonts w:ascii="PT Astra Serif" w:hAnsi="PT Astra Serif"/>
        </w:rPr>
      </w:pPr>
      <w:r w:rsidRPr="00CE6FD4">
        <w:rPr>
          <w:rFonts w:ascii="PT Astra Serif" w:hAnsi="PT Astra Serif"/>
          <w:noProof/>
          <w:color w:val="7030A0"/>
          <w:lang w:eastAsia="ru-RU"/>
        </w:rPr>
        <w:drawing>
          <wp:inline distT="0" distB="0" distL="0" distR="0" wp14:anchorId="5FCB87C0" wp14:editId="1E23B24F">
            <wp:extent cx="6308725" cy="3285460"/>
            <wp:effectExtent l="0" t="0" r="15875" b="1079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4A46" w:rsidRDefault="007A4A46" w:rsidP="007A4A46">
      <w:pPr>
        <w:pStyle w:val="a3"/>
        <w:jc w:val="center"/>
        <w:rPr>
          <w:rFonts w:ascii="PT Astra Serif" w:hAnsi="PT Astra Serif"/>
        </w:rPr>
      </w:pPr>
      <w:r w:rsidRPr="00CE6FD4">
        <w:rPr>
          <w:rFonts w:ascii="PT Astra Serif" w:hAnsi="PT Astra Serif"/>
          <w:noProof/>
          <w:color w:val="7030A0"/>
          <w:lang w:eastAsia="ru-RU"/>
        </w:rPr>
        <w:lastRenderedPageBreak/>
        <w:drawing>
          <wp:inline distT="0" distB="0" distL="0" distR="0" wp14:anchorId="1BCB41D2" wp14:editId="5FA8E4DD">
            <wp:extent cx="6308725" cy="3285460"/>
            <wp:effectExtent l="0" t="0" r="15875" b="107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031D" w:rsidRPr="00E65F59" w:rsidRDefault="00FC031D" w:rsidP="00712511">
      <w:pPr>
        <w:pStyle w:val="a3"/>
        <w:rPr>
          <w:rFonts w:ascii="PT Astra Serif" w:hAnsi="PT Astra Serif"/>
          <w:sz w:val="16"/>
          <w:szCs w:val="16"/>
        </w:rPr>
      </w:pPr>
    </w:p>
    <w:p w:rsidR="007A4A46" w:rsidRDefault="007A4A46" w:rsidP="007A4A46">
      <w:pPr>
        <w:pStyle w:val="a3"/>
        <w:jc w:val="center"/>
        <w:rPr>
          <w:rFonts w:ascii="PT Astra Serif" w:hAnsi="PT Astra Serif"/>
        </w:rPr>
      </w:pPr>
      <w:r w:rsidRPr="00CE6FD4">
        <w:rPr>
          <w:rFonts w:ascii="PT Astra Serif" w:hAnsi="PT Astra Serif"/>
          <w:noProof/>
          <w:color w:val="7030A0"/>
          <w:lang w:eastAsia="ru-RU"/>
        </w:rPr>
        <w:drawing>
          <wp:inline distT="0" distB="0" distL="0" distR="0" wp14:anchorId="63825933" wp14:editId="1AA4D564">
            <wp:extent cx="6308725" cy="3285460"/>
            <wp:effectExtent l="0" t="0" r="15875" b="107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4A46" w:rsidRPr="00E65F59" w:rsidRDefault="007A4A46" w:rsidP="00712511">
      <w:pPr>
        <w:pStyle w:val="a3"/>
        <w:rPr>
          <w:rFonts w:ascii="PT Astra Serif" w:hAnsi="PT Astra Serif"/>
          <w:sz w:val="16"/>
          <w:szCs w:val="16"/>
        </w:rPr>
      </w:pPr>
    </w:p>
    <w:p w:rsidR="00E65F59" w:rsidRDefault="00E65F59" w:rsidP="00E65F59">
      <w:pPr>
        <w:pStyle w:val="a3"/>
        <w:jc w:val="center"/>
        <w:rPr>
          <w:rFonts w:ascii="PT Astra Serif" w:hAnsi="PT Astra Serif"/>
        </w:rPr>
      </w:pPr>
      <w:r w:rsidRPr="00CE6FD4">
        <w:rPr>
          <w:rFonts w:ascii="PT Astra Serif" w:hAnsi="PT Astra Serif"/>
          <w:noProof/>
          <w:color w:val="7030A0"/>
          <w:lang w:eastAsia="ru-RU"/>
        </w:rPr>
        <w:drawing>
          <wp:inline distT="0" distB="0" distL="0" distR="0" wp14:anchorId="4D4376B3" wp14:editId="302D8253">
            <wp:extent cx="6308725" cy="3070747"/>
            <wp:effectExtent l="0" t="0" r="15875"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5F59" w:rsidRDefault="00E65F59" w:rsidP="00E65F59">
      <w:pPr>
        <w:pStyle w:val="a3"/>
        <w:jc w:val="center"/>
        <w:rPr>
          <w:rFonts w:ascii="PT Astra Serif" w:hAnsi="PT Astra Serif"/>
        </w:rPr>
      </w:pPr>
      <w:r w:rsidRPr="00CE6FD4">
        <w:rPr>
          <w:rFonts w:ascii="PT Astra Serif" w:hAnsi="PT Astra Serif"/>
          <w:noProof/>
          <w:color w:val="7030A0"/>
          <w:lang w:eastAsia="ru-RU"/>
        </w:rPr>
        <w:lastRenderedPageBreak/>
        <w:drawing>
          <wp:inline distT="0" distB="0" distL="0" distR="0" wp14:anchorId="519400D1" wp14:editId="35F03F19">
            <wp:extent cx="6308725" cy="3285460"/>
            <wp:effectExtent l="0" t="0" r="1587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0A20" w:rsidRPr="009532C2" w:rsidRDefault="00CF0A20" w:rsidP="00712511">
      <w:pPr>
        <w:pStyle w:val="a3"/>
        <w:rPr>
          <w:rFonts w:ascii="PT Astra Serif" w:hAnsi="PT Astra Serif"/>
          <w:sz w:val="16"/>
          <w:szCs w:val="16"/>
        </w:rPr>
      </w:pPr>
    </w:p>
    <w:p w:rsidR="00483CC0" w:rsidRDefault="00483CC0" w:rsidP="00483CC0">
      <w:pPr>
        <w:pStyle w:val="a3"/>
        <w:jc w:val="center"/>
        <w:rPr>
          <w:rFonts w:ascii="PT Astra Serif" w:hAnsi="PT Astra Serif"/>
        </w:rPr>
      </w:pPr>
      <w:r w:rsidRPr="00CE6FD4">
        <w:rPr>
          <w:rFonts w:ascii="PT Astra Serif" w:hAnsi="PT Astra Serif"/>
          <w:noProof/>
          <w:color w:val="7030A0"/>
          <w:lang w:eastAsia="ru-RU"/>
        </w:rPr>
        <w:drawing>
          <wp:inline distT="0" distB="0" distL="0" distR="0" wp14:anchorId="4A209D04" wp14:editId="60349026">
            <wp:extent cx="6308725" cy="3285460"/>
            <wp:effectExtent l="0" t="0" r="15875" b="1079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3CC0" w:rsidRPr="009532C2" w:rsidRDefault="00483CC0" w:rsidP="00712511">
      <w:pPr>
        <w:pStyle w:val="a3"/>
        <w:rPr>
          <w:rFonts w:ascii="PT Astra Serif" w:hAnsi="PT Astra Serif"/>
          <w:sz w:val="16"/>
          <w:szCs w:val="16"/>
        </w:rPr>
      </w:pPr>
    </w:p>
    <w:p w:rsidR="00712511" w:rsidRPr="00712511" w:rsidRDefault="008E7471" w:rsidP="009532C2">
      <w:pPr>
        <w:pStyle w:val="a3"/>
        <w:jc w:val="center"/>
        <w:rPr>
          <w:rFonts w:ascii="PT Astra Serif" w:hAnsi="PT Astra Serif"/>
        </w:rPr>
      </w:pPr>
      <w:r w:rsidRPr="00CE6FD4">
        <w:rPr>
          <w:rFonts w:ascii="PT Astra Serif" w:hAnsi="PT Astra Serif"/>
          <w:noProof/>
          <w:color w:val="7030A0"/>
          <w:lang w:eastAsia="ru-RU"/>
        </w:rPr>
        <w:drawing>
          <wp:inline distT="0" distB="0" distL="0" distR="0" wp14:anchorId="1C578EB9" wp14:editId="660B14AA">
            <wp:extent cx="6308725" cy="3186753"/>
            <wp:effectExtent l="0" t="0" r="15875"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712511" w:rsidRPr="00712511" w:rsidSect="009532C2">
      <w:pgSz w:w="11906" w:h="16838"/>
      <w:pgMar w:top="510" w:right="737" w:bottom="45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11"/>
    <w:rsid w:val="000D1105"/>
    <w:rsid w:val="00120AB7"/>
    <w:rsid w:val="001F1763"/>
    <w:rsid w:val="0022269D"/>
    <w:rsid w:val="002D0641"/>
    <w:rsid w:val="002F7295"/>
    <w:rsid w:val="0036281D"/>
    <w:rsid w:val="00366D78"/>
    <w:rsid w:val="003A7C94"/>
    <w:rsid w:val="003C07D1"/>
    <w:rsid w:val="00474116"/>
    <w:rsid w:val="00480018"/>
    <w:rsid w:val="00483CC0"/>
    <w:rsid w:val="005222F8"/>
    <w:rsid w:val="005262DC"/>
    <w:rsid w:val="0054116C"/>
    <w:rsid w:val="00572F56"/>
    <w:rsid w:val="00712511"/>
    <w:rsid w:val="007A4A46"/>
    <w:rsid w:val="00891777"/>
    <w:rsid w:val="008E7471"/>
    <w:rsid w:val="009532C2"/>
    <w:rsid w:val="00954EF2"/>
    <w:rsid w:val="00A30217"/>
    <w:rsid w:val="00A41FAF"/>
    <w:rsid w:val="00A50A71"/>
    <w:rsid w:val="00B525D7"/>
    <w:rsid w:val="00C047EE"/>
    <w:rsid w:val="00CE1752"/>
    <w:rsid w:val="00CE6FD4"/>
    <w:rsid w:val="00CF0A20"/>
    <w:rsid w:val="00D2122B"/>
    <w:rsid w:val="00D462C7"/>
    <w:rsid w:val="00DA2A4E"/>
    <w:rsid w:val="00DF1EA3"/>
    <w:rsid w:val="00E65F59"/>
    <w:rsid w:val="00E85E0E"/>
    <w:rsid w:val="00EC7DAA"/>
    <w:rsid w:val="00F00613"/>
    <w:rsid w:val="00F54F84"/>
    <w:rsid w:val="00FC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FADF4-6EB2-4AA5-AA59-68B70344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2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r>
              <a:rPr lang="ru-RU" sz="1300" b="1" i="1">
                <a:solidFill>
                  <a:srgbClr val="7030A0"/>
                </a:solidFill>
                <a:latin typeface="PT Astra Serif" panose="020A0603040505020204" pitchFamily="18" charset="-52"/>
                <a:ea typeface="PT Astra Serif" panose="020A0603040505020204" pitchFamily="18" charset="-52"/>
              </a:rPr>
              <a:t>Распределение</a:t>
            </a:r>
            <a:r>
              <a:rPr lang="ru-RU" sz="13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a:t>
            </a:r>
          </a:p>
          <a:p>
            <a:pPr>
              <a:defRPr sz="1300" b="1">
                <a:latin typeface="PT Astra Serif" panose="020A0603040505020204" pitchFamily="18" charset="-52"/>
                <a:ea typeface="PT Astra Serif" panose="020A0603040505020204" pitchFamily="18" charset="-52"/>
              </a:defRPr>
            </a:pPr>
            <a:r>
              <a:rPr lang="ru-RU" sz="1300" b="1" i="1" baseline="0">
                <a:solidFill>
                  <a:srgbClr val="7030A0"/>
                </a:solidFill>
                <a:latin typeface="PT Astra Serif" panose="020A0603040505020204" pitchFamily="18" charset="-52"/>
                <a:ea typeface="PT Astra Serif" panose="020A0603040505020204" pitchFamily="18" charset="-52"/>
              </a:rPr>
              <a:t>Математика профильная</a:t>
            </a:r>
            <a:endParaRPr lang="ru-RU" sz="1300" b="1" i="1">
              <a:solidFill>
                <a:srgbClr val="7030A0"/>
              </a:solidFill>
              <a:latin typeface="PT Astra Serif" panose="020A0603040505020204" pitchFamily="18" charset="-52"/>
              <a:ea typeface="PT Astra Serif" panose="020A0603040505020204" pitchFamily="18" charset="-52"/>
            </a:endParaRPr>
          </a:p>
        </c:rich>
      </c:tx>
      <c:overlay val="0"/>
      <c:spPr>
        <a:noFill/>
        <a:ln>
          <a:noFill/>
        </a:ln>
        <a:effectLst/>
      </c:spPr>
      <c:txPr>
        <a:bodyPr rot="0" spcFirstLastPara="1" vertOverflow="ellipsis" vert="horz" wrap="square" anchor="ctr" anchorCtr="1"/>
        <a:lstStyle/>
        <a:p>
          <a:pPr>
            <a:defRPr sz="1300" b="1" i="0" u="none" strike="noStrike" kern="1200" spc="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title>
    <c:autoTitleDeleted val="0"/>
    <c:plotArea>
      <c:layout>
        <c:manualLayout>
          <c:layoutTarget val="inner"/>
          <c:xMode val="edge"/>
          <c:yMode val="edge"/>
          <c:x val="6.4743365412656767E-2"/>
          <c:y val="0.14718253968253969"/>
          <c:w val="0.9190529308836396"/>
          <c:h val="0.60897419072615921"/>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chemeClr val="bg2">
                  <a:lumMod val="50000"/>
                </a:schemeClr>
              </a:solidFill>
              <a:ln>
                <a:noFill/>
              </a:ln>
              <a:effectLst/>
            </c:spPr>
          </c:dPt>
          <c:dPt>
            <c:idx val="1"/>
            <c:invertIfNegative val="0"/>
            <c:bubble3D val="0"/>
            <c:spPr>
              <a:solidFill>
                <a:srgbClr val="00B050"/>
              </a:solidFill>
              <a:ln>
                <a:noFill/>
              </a:ln>
              <a:effectLst/>
            </c:spPr>
          </c:dPt>
          <c:dPt>
            <c:idx val="2"/>
            <c:invertIfNegative val="0"/>
            <c:bubble3D val="0"/>
            <c:spPr>
              <a:solidFill>
                <a:schemeClr val="bg2">
                  <a:lumMod val="50000"/>
                </a:schemeClr>
              </a:solidFill>
              <a:ln>
                <a:noFill/>
              </a:ln>
              <a:effectLst/>
            </c:spPr>
          </c:dPt>
          <c:dPt>
            <c:idx val="3"/>
            <c:invertIfNegative val="0"/>
            <c:bubble3D val="0"/>
            <c:spPr>
              <a:solidFill>
                <a:schemeClr val="bg2">
                  <a:lumMod val="50000"/>
                </a:schemeClr>
              </a:solidFill>
              <a:ln>
                <a:noFill/>
              </a:ln>
              <a:effectLst/>
            </c:spPr>
          </c:dPt>
          <c:dPt>
            <c:idx val="4"/>
            <c:invertIfNegative val="0"/>
            <c:bubble3D val="0"/>
            <c:spPr>
              <a:solidFill>
                <a:srgbClr val="00B050"/>
              </a:solidFill>
              <a:ln>
                <a:noFill/>
              </a:ln>
              <a:effectLst/>
            </c:spPr>
          </c:dPt>
          <c:dPt>
            <c:idx val="5"/>
            <c:invertIfNegative val="0"/>
            <c:bubble3D val="0"/>
            <c:spPr>
              <a:solidFill>
                <a:srgbClr val="FF0000"/>
              </a:solidFill>
              <a:ln>
                <a:noFill/>
              </a:ln>
              <a:effectLst/>
            </c:spPr>
          </c:dPt>
          <c:dPt>
            <c:idx val="6"/>
            <c:invertIfNegative val="0"/>
            <c:bubble3D val="0"/>
            <c:spPr>
              <a:solidFill>
                <a:srgbClr val="FF0000"/>
              </a:solidFill>
              <a:ln>
                <a:noFill/>
              </a:ln>
              <a:effectLst/>
            </c:spPr>
          </c:dPt>
          <c:dLbls>
            <c:dLbl>
              <c:idx val="6"/>
              <c:layout>
                <c:manualLayout>
                  <c:x val="-4.081632653061374E-3"/>
                  <c:y val="2.859185132237312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1</c:v>
                </c:pt>
                <c:pt idx="1">
                  <c:v>8</c:v>
                </c:pt>
                <c:pt idx="2">
                  <c:v>9</c:v>
                </c:pt>
                <c:pt idx="3">
                  <c:v>11</c:v>
                </c:pt>
                <c:pt idx="4">
                  <c:v>13</c:v>
                </c:pt>
                <c:pt idx="5">
                  <c:v>14</c:v>
                </c:pt>
                <c:pt idx="6">
                  <c:v>15</c:v>
                </c:pt>
              </c:numCache>
            </c:numRef>
          </c:cat>
          <c:val>
            <c:numRef>
              <c:f>Лист1!$B$2:$B$8</c:f>
              <c:numCache>
                <c:formatCode>General</c:formatCode>
                <c:ptCount val="7"/>
                <c:pt idx="0">
                  <c:v>32.26</c:v>
                </c:pt>
                <c:pt idx="1">
                  <c:v>34.68</c:v>
                </c:pt>
                <c:pt idx="2">
                  <c:v>29.84</c:v>
                </c:pt>
                <c:pt idx="3">
                  <c:v>29.49</c:v>
                </c:pt>
                <c:pt idx="4">
                  <c:v>35.479999999999997</c:v>
                </c:pt>
                <c:pt idx="5">
                  <c:v>23.65</c:v>
                </c:pt>
                <c:pt idx="6">
                  <c:v>27.42</c:v>
                </c:pt>
              </c:numCache>
            </c:numRef>
          </c:val>
        </c:ser>
        <c:dLbls>
          <c:showLegendKey val="0"/>
          <c:showVal val="0"/>
          <c:showCatName val="0"/>
          <c:showSerName val="0"/>
          <c:showPercent val="0"/>
          <c:showBubbleSize val="0"/>
        </c:dLbls>
        <c:gapWidth val="219"/>
        <c:overlap val="-27"/>
        <c:axId val="296979176"/>
        <c:axId val="296983096"/>
      </c:barChart>
      <c:lineChart>
        <c:grouping val="standard"/>
        <c:varyColors val="0"/>
        <c:ser>
          <c:idx val="2"/>
          <c:order val="1"/>
          <c:tx>
            <c:strRef>
              <c:f>Лист1!$C$1</c:f>
              <c:strCache>
                <c:ptCount val="1"/>
                <c:pt idx="0">
                  <c:v>Североуральский ГО: индекс ПБ - 30,92</c:v>
                </c:pt>
              </c:strCache>
            </c:strRef>
          </c:tx>
          <c:spPr>
            <a:ln w="28575" cap="rnd">
              <a:solidFill>
                <a:srgbClr val="7030A0"/>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1</c:v>
                </c:pt>
                <c:pt idx="1">
                  <c:v>8</c:v>
                </c:pt>
                <c:pt idx="2">
                  <c:v>9</c:v>
                </c:pt>
                <c:pt idx="3">
                  <c:v>11</c:v>
                </c:pt>
                <c:pt idx="4">
                  <c:v>13</c:v>
                </c:pt>
                <c:pt idx="5">
                  <c:v>14</c:v>
                </c:pt>
                <c:pt idx="6">
                  <c:v>15</c:v>
                </c:pt>
              </c:numCache>
            </c:numRef>
          </c:cat>
          <c:val>
            <c:numRef>
              <c:f>Лист1!$C$2:$C$8</c:f>
              <c:numCache>
                <c:formatCode>General</c:formatCode>
                <c:ptCount val="7"/>
                <c:pt idx="0">
                  <c:v>30.92</c:v>
                </c:pt>
                <c:pt idx="1">
                  <c:v>30.92</c:v>
                </c:pt>
                <c:pt idx="2">
                  <c:v>30.92</c:v>
                </c:pt>
                <c:pt idx="3">
                  <c:v>30.92</c:v>
                </c:pt>
                <c:pt idx="4">
                  <c:v>30.92</c:v>
                </c:pt>
                <c:pt idx="5">
                  <c:v>30.92</c:v>
                </c:pt>
                <c:pt idx="6">
                  <c:v>30.92</c:v>
                </c:pt>
              </c:numCache>
            </c:numRef>
          </c:val>
          <c:smooth val="0"/>
        </c:ser>
        <c:ser>
          <c:idx val="3"/>
          <c:order val="2"/>
          <c:tx>
            <c:strRef>
              <c:f>Лист1!$D$1</c:f>
              <c:strCache>
                <c:ptCount val="1"/>
                <c:pt idx="0">
                  <c:v>Свердловская область: индекс ПБ - 34,08</c:v>
                </c:pt>
              </c:strCache>
            </c:strRef>
          </c:tx>
          <c:spPr>
            <a:ln w="28575" cap="rnd">
              <a:solidFill>
                <a:srgbClr val="00B050"/>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9.1836734693877556E-2"/>
                  <c:y val="-3.2165832737669799E-2"/>
                </c:manualLayout>
              </c:layout>
              <c:tx>
                <c:rich>
                  <a:bodyPr rot="0" spcFirstLastPara="1" vertOverflow="clip" horzOverflow="clip" vert="horz" wrap="square" lIns="38100" tIns="19050" rIns="38100" bIns="19050" anchor="ctr" anchorCtr="1">
                    <a:spAutoFit/>
                  </a:bodyPr>
                  <a:lstStyle/>
                  <a:p>
                    <a:pPr>
                      <a:defRPr sz="1200" b="1" i="0" u="none" strike="noStrike" kern="1200" baseline="0">
                        <a:ln>
                          <a:noFill/>
                        </a:ln>
                        <a:solidFill>
                          <a:srgbClr val="00B050"/>
                        </a:solidFill>
                        <a:latin typeface="PT Astra Serif" panose="020A0603040505020204" pitchFamily="18" charset="-52"/>
                        <a:ea typeface="PT Astra Serif" panose="020A0603040505020204" pitchFamily="18" charset="-52"/>
                        <a:cs typeface="+mn-cs"/>
                      </a:defRPr>
                    </a:pPr>
                    <a:fld id="{E12F117C-1D76-4B0C-812B-A139BE38C5CC}" type="VALUE">
                      <a:rPr lang="en-US" sz="1200" b="1" baseline="0">
                        <a:ln>
                          <a:noFill/>
                        </a:ln>
                        <a:solidFill>
                          <a:srgbClr val="00B050"/>
                        </a:solidFill>
                      </a:rPr>
                      <a:pPr>
                        <a:defRPr sz="1200" b="1">
                          <a:ln>
                            <a:noFill/>
                          </a:ln>
                          <a:solidFill>
                            <a:srgbClr val="00B050"/>
                          </a:solidFill>
                          <a:latin typeface="PT Astra Serif" panose="020A0603040505020204" pitchFamily="18" charset="-52"/>
                          <a:ea typeface="PT Astra Serif" panose="020A0603040505020204" pitchFamily="18" charset="-52"/>
                        </a:defRPr>
                      </a:pPr>
                      <a:t>[ЗНАЧЕНИЕ]</a:t>
                    </a:fld>
                    <a:endParaRPr lang="ru-RU"/>
                  </a:p>
                </c:rich>
              </c:tx>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200" b="1" i="0" u="none" strike="noStrike" kern="1200" baseline="0">
                      <a:ln>
                        <a:noFill/>
                      </a:ln>
                      <a:solidFill>
                        <a:srgbClr val="00B05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Лист1!$A$2:$A$8</c:f>
              <c:numCache>
                <c:formatCode>General</c:formatCode>
                <c:ptCount val="7"/>
                <c:pt idx="0">
                  <c:v>1</c:v>
                </c:pt>
                <c:pt idx="1">
                  <c:v>8</c:v>
                </c:pt>
                <c:pt idx="2">
                  <c:v>9</c:v>
                </c:pt>
                <c:pt idx="3">
                  <c:v>11</c:v>
                </c:pt>
                <c:pt idx="4">
                  <c:v>13</c:v>
                </c:pt>
                <c:pt idx="5">
                  <c:v>14</c:v>
                </c:pt>
                <c:pt idx="6">
                  <c:v>15</c:v>
                </c:pt>
              </c:numCache>
            </c:numRef>
          </c:cat>
          <c:val>
            <c:numRef>
              <c:f>Лист1!$D$2:$D$8</c:f>
              <c:numCache>
                <c:formatCode>General</c:formatCode>
                <c:ptCount val="7"/>
                <c:pt idx="0">
                  <c:v>34.08</c:v>
                </c:pt>
                <c:pt idx="1">
                  <c:v>34.08</c:v>
                </c:pt>
                <c:pt idx="2">
                  <c:v>34.08</c:v>
                </c:pt>
                <c:pt idx="3">
                  <c:v>34.08</c:v>
                </c:pt>
                <c:pt idx="4">
                  <c:v>34.08</c:v>
                </c:pt>
                <c:pt idx="5">
                  <c:v>34.08</c:v>
                </c:pt>
                <c:pt idx="6">
                  <c:v>34.08</c:v>
                </c:pt>
              </c:numCache>
            </c:numRef>
          </c:val>
          <c:smooth val="0"/>
        </c:ser>
        <c:dLbls>
          <c:showLegendKey val="0"/>
          <c:showVal val="0"/>
          <c:showCatName val="0"/>
          <c:showSerName val="0"/>
          <c:showPercent val="0"/>
          <c:showBubbleSize val="0"/>
        </c:dLbls>
        <c:marker val="1"/>
        <c:smooth val="0"/>
        <c:axId val="296979176"/>
        <c:axId val="296983096"/>
      </c:lineChart>
      <c:catAx>
        <c:axId val="29697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6731">
                  <a:solidFill>
                    <a:sysClr val="windowText" lastClr="000000"/>
                  </a:solidFill>
                  <a:prstDash val="solid"/>
                </a:ln>
                <a:solidFill>
                  <a:schemeClr val="tx1">
                    <a:lumMod val="85000"/>
                    <a:lumOff val="15000"/>
                  </a:schemeClr>
                </a:solidFill>
                <a:effectLst>
                  <a:outerShdw dist="38100" dir="2700000" algn="bl" rotWithShape="0">
                    <a:schemeClr val="accent5"/>
                  </a:outerShdw>
                </a:effectLst>
                <a:latin typeface="PT Astra Serif" panose="020A0603040505020204" pitchFamily="18" charset="-52"/>
                <a:ea typeface="PT Astra Serif" panose="020A0603040505020204" pitchFamily="18" charset="-52"/>
                <a:cs typeface="+mn-cs"/>
              </a:defRPr>
            </a:pPr>
            <a:endParaRPr lang="ru-RU"/>
          </a:p>
        </c:txPr>
        <c:crossAx val="296983096"/>
        <c:crosses val="autoZero"/>
        <c:auto val="1"/>
        <c:lblAlgn val="ctr"/>
        <c:lblOffset val="100"/>
        <c:noMultiLvlLbl val="0"/>
      </c:catAx>
      <c:valAx>
        <c:axId val="296983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791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Entry>
      <c:layout>
        <c:manualLayout>
          <c:xMode val="edge"/>
          <c:yMode val="edge"/>
          <c:x val="2.8163265306122465E-3"/>
          <c:y val="0.85761206426239123"/>
          <c:w val="0.98416326530612241"/>
          <c:h val="0.1336814077144183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PT Astra Serif" panose="020A0603040505020204" pitchFamily="18" charset="-52"/>
                <a:ea typeface="PT Astra Serif" panose="020A0603040505020204" pitchFamily="18" charset="-52"/>
              </a:rPr>
              <a:t>Распределение</a:t>
            </a:r>
            <a:r>
              <a:rPr lang="ru-RU" sz="12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Обществознание.</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FF0000"/>
              </a:solidFill>
              <a:ln>
                <a:noFill/>
              </a:ln>
              <a:effectLst/>
            </c:spPr>
          </c:dPt>
          <c:dPt>
            <c:idx val="1"/>
            <c:invertIfNegative val="0"/>
            <c:bubble3D val="0"/>
            <c:spPr>
              <a:solidFill>
                <a:srgbClr val="00B050"/>
              </a:solidFill>
              <a:ln>
                <a:noFill/>
              </a:ln>
              <a:effectLst/>
            </c:spPr>
          </c:dPt>
          <c:dPt>
            <c:idx val="2"/>
            <c:invertIfNegative val="0"/>
            <c:bubble3D val="0"/>
            <c:spPr>
              <a:solidFill>
                <a:srgbClr val="00B050"/>
              </a:solidFill>
              <a:ln>
                <a:noFill/>
              </a:ln>
              <a:effectLst/>
            </c:spPr>
          </c:dPt>
          <c:dPt>
            <c:idx val="3"/>
            <c:invertIfNegative val="0"/>
            <c:bubble3D val="0"/>
            <c:spPr>
              <a:solidFill>
                <a:srgbClr val="00B050"/>
              </a:solidFill>
              <a:ln>
                <a:noFill/>
              </a:ln>
              <a:effectLst/>
            </c:spPr>
          </c:dPt>
          <c:dPt>
            <c:idx val="4"/>
            <c:invertIfNegative val="0"/>
            <c:bubble3D val="0"/>
            <c:spPr>
              <a:solidFill>
                <a:srgbClr val="FF0000"/>
              </a:solidFill>
              <a:ln>
                <a:noFill/>
              </a:ln>
              <a:effectLst/>
            </c:spPr>
          </c:dPt>
          <c:dPt>
            <c:idx val="5"/>
            <c:invertIfNegative val="0"/>
            <c:bubble3D val="0"/>
            <c:spPr>
              <a:solidFill>
                <a:srgbClr val="FF0000"/>
              </a:solidFill>
              <a:ln>
                <a:noFill/>
              </a:ln>
              <a:effectLst/>
            </c:spPr>
          </c:dPt>
          <c:dPt>
            <c:idx val="6"/>
            <c:invertIfNegative val="0"/>
            <c:bubble3D val="0"/>
            <c:spPr>
              <a:solidFill>
                <a:schemeClr val="bg2">
                  <a:lumMod val="50000"/>
                </a:schemeClr>
              </a:solidFill>
              <a:ln>
                <a:noFill/>
              </a:ln>
              <a:effectLst/>
            </c:spPr>
          </c:dPt>
          <c:dLbls>
            <c:dLbl>
              <c:idx val="0"/>
              <c:layout>
                <c:manualLayout>
                  <c:x val="0"/>
                  <c:y val="2.3197370964623973E-2"/>
                </c:manualLayout>
              </c:layout>
              <c:showLegendKey val="0"/>
              <c:showVal val="1"/>
              <c:showCatName val="0"/>
              <c:showSerName val="0"/>
              <c:showPercent val="0"/>
              <c:showBubbleSize val="0"/>
              <c:extLst>
                <c:ext xmlns:c15="http://schemas.microsoft.com/office/drawing/2012/chart" uri="{CE6537A1-D6FC-4f65-9D91-7224C49458BB}"/>
              </c:extLst>
            </c:dLbl>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5"/>
              <c:layout>
                <c:manualLayout>
                  <c:x val="9.0588827377956656E-3"/>
                  <c:y val="1.7190991920233798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2511323603422231E-2"/>
                      <c:h val="5.7761732851985562E-2"/>
                    </c:manualLayout>
                  </c15:layout>
                </c:ext>
              </c:extLst>
            </c:dLbl>
            <c:dLbl>
              <c:idx val="6"/>
              <c:layout>
                <c:manualLayout>
                  <c:x val="7.9255317041081987E-8"/>
                  <c:y val="2.750572243451514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6482213125473047E-2"/>
                      <c:h val="6.463812962007907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1</c:v>
                </c:pt>
                <c:pt idx="1">
                  <c:v>8</c:v>
                </c:pt>
                <c:pt idx="2">
                  <c:v>9</c:v>
                </c:pt>
                <c:pt idx="3">
                  <c:v>11</c:v>
                </c:pt>
                <c:pt idx="4">
                  <c:v>13</c:v>
                </c:pt>
                <c:pt idx="5">
                  <c:v>14</c:v>
                </c:pt>
                <c:pt idx="6">
                  <c:v>15</c:v>
                </c:pt>
              </c:numCache>
            </c:numRef>
          </c:cat>
          <c:val>
            <c:numRef>
              <c:f>Лист1!$B$2:$B$8</c:f>
              <c:numCache>
                <c:formatCode>General</c:formatCode>
                <c:ptCount val="7"/>
                <c:pt idx="0">
                  <c:v>51.72</c:v>
                </c:pt>
                <c:pt idx="1">
                  <c:v>61.25</c:v>
                </c:pt>
                <c:pt idx="2">
                  <c:v>66.75</c:v>
                </c:pt>
                <c:pt idx="3">
                  <c:v>62.2</c:v>
                </c:pt>
                <c:pt idx="4">
                  <c:v>48.03</c:v>
                </c:pt>
                <c:pt idx="5">
                  <c:v>42.89</c:v>
                </c:pt>
                <c:pt idx="6">
                  <c:v>59.77</c:v>
                </c:pt>
              </c:numCache>
            </c:numRef>
          </c:val>
        </c:ser>
        <c:dLbls>
          <c:showLegendKey val="0"/>
          <c:showVal val="0"/>
          <c:showCatName val="0"/>
          <c:showSerName val="0"/>
          <c:showPercent val="0"/>
          <c:showBubbleSize val="0"/>
        </c:dLbls>
        <c:gapWidth val="219"/>
        <c:overlap val="-27"/>
        <c:axId val="296991720"/>
        <c:axId val="296406728"/>
      </c:barChart>
      <c:lineChart>
        <c:grouping val="standard"/>
        <c:varyColors val="0"/>
        <c:ser>
          <c:idx val="2"/>
          <c:order val="1"/>
          <c:tx>
            <c:strRef>
              <c:f>Лист1!$C$1</c:f>
              <c:strCache>
                <c:ptCount val="1"/>
                <c:pt idx="0">
                  <c:v>Североуральский ГО: индекс ПБ - 57,28</c:v>
                </c:pt>
              </c:strCache>
            </c:strRef>
          </c:tx>
          <c:spPr>
            <a:ln w="28575" cap="rnd">
              <a:solidFill>
                <a:srgbClr val="7030A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Лист1!$C$2:$C$8</c:f>
              <c:numCache>
                <c:formatCode>General</c:formatCode>
                <c:ptCount val="7"/>
                <c:pt idx="0">
                  <c:v>57.28</c:v>
                </c:pt>
                <c:pt idx="1">
                  <c:v>57.28</c:v>
                </c:pt>
                <c:pt idx="2">
                  <c:v>57.28</c:v>
                </c:pt>
                <c:pt idx="3">
                  <c:v>57.28</c:v>
                </c:pt>
                <c:pt idx="4">
                  <c:v>57.28</c:v>
                </c:pt>
                <c:pt idx="5">
                  <c:v>57.28</c:v>
                </c:pt>
                <c:pt idx="6">
                  <c:v>57.28</c:v>
                </c:pt>
              </c:numCache>
            </c:numRef>
          </c:val>
          <c:smooth val="0"/>
        </c:ser>
        <c:ser>
          <c:idx val="3"/>
          <c:order val="2"/>
          <c:tx>
            <c:strRef>
              <c:f>Лист1!$D$1</c:f>
              <c:strCache>
                <c:ptCount val="1"/>
                <c:pt idx="0">
                  <c:v>Свердловская область: индекс ПБ - 56,74</c:v>
                </c:pt>
              </c:strCache>
            </c:strRef>
          </c:tx>
          <c:spPr>
            <a:ln w="28575" cap="rnd">
              <a:solidFill>
                <a:srgbClr val="00B05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Лист1!$D$2:$D$8</c:f>
              <c:numCache>
                <c:formatCode>General</c:formatCode>
                <c:ptCount val="7"/>
                <c:pt idx="0">
                  <c:v>56.74</c:v>
                </c:pt>
                <c:pt idx="1">
                  <c:v>56.74</c:v>
                </c:pt>
                <c:pt idx="2">
                  <c:v>56.74</c:v>
                </c:pt>
                <c:pt idx="3">
                  <c:v>56.74</c:v>
                </c:pt>
                <c:pt idx="4">
                  <c:v>56.74</c:v>
                </c:pt>
                <c:pt idx="5">
                  <c:v>56.74</c:v>
                </c:pt>
                <c:pt idx="6">
                  <c:v>56.74</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Лист1!$E$2:$E$8</c:f>
              <c:numCache>
                <c:formatCode>General</c:formatCode>
                <c:ptCount val="7"/>
              </c:numCache>
            </c:numRef>
          </c:val>
          <c:smooth val="0"/>
        </c:ser>
        <c:dLbls>
          <c:showLegendKey val="0"/>
          <c:showVal val="0"/>
          <c:showCatName val="0"/>
          <c:showSerName val="0"/>
          <c:showPercent val="0"/>
          <c:showBubbleSize val="0"/>
        </c:dLbls>
        <c:marker val="1"/>
        <c:smooth val="0"/>
        <c:axId val="296991720"/>
        <c:axId val="296406728"/>
      </c:lineChart>
      <c:catAx>
        <c:axId val="29699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406728"/>
        <c:crosses val="autoZero"/>
        <c:auto val="1"/>
        <c:lblAlgn val="ctr"/>
        <c:lblOffset val="100"/>
        <c:noMultiLvlLbl val="0"/>
      </c:catAx>
      <c:valAx>
        <c:axId val="296406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91720"/>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PT Astra Serif" panose="020A0603040505020204" pitchFamily="18" charset="-52"/>
                <a:ea typeface="PT Astra Serif" panose="020A0603040505020204" pitchFamily="18" charset="-52"/>
              </a:rPr>
              <a:t>Распределение</a:t>
            </a:r>
            <a:r>
              <a:rPr lang="ru-RU" sz="12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История.</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00B050"/>
              </a:solidFill>
              <a:ln>
                <a:noFill/>
              </a:ln>
              <a:effectLst/>
            </c:spPr>
          </c:dPt>
          <c:dPt>
            <c:idx val="1"/>
            <c:invertIfNegative val="0"/>
            <c:bubble3D val="0"/>
            <c:spPr>
              <a:solidFill>
                <a:srgbClr val="FF0000"/>
              </a:solidFill>
              <a:ln>
                <a:noFill/>
              </a:ln>
              <a:effectLst/>
            </c:spPr>
          </c:dPt>
          <c:dPt>
            <c:idx val="2"/>
            <c:invertIfNegative val="0"/>
            <c:bubble3D val="0"/>
            <c:spPr>
              <a:solidFill>
                <a:srgbClr val="00B050"/>
              </a:solidFill>
              <a:ln>
                <a:noFill/>
              </a:ln>
              <a:effectLst/>
            </c:spPr>
          </c:dPt>
          <c:dPt>
            <c:idx val="3"/>
            <c:invertIfNegative val="0"/>
            <c:bubble3D val="0"/>
            <c:spPr>
              <a:solidFill>
                <a:schemeClr val="bg2">
                  <a:lumMod val="50000"/>
                </a:schemeClr>
              </a:solidFill>
              <a:ln>
                <a:noFill/>
              </a:ln>
              <a:effectLst/>
            </c:spPr>
          </c:dPt>
          <c:dPt>
            <c:idx val="4"/>
            <c:invertIfNegative val="0"/>
            <c:bubble3D val="0"/>
            <c:spPr>
              <a:solidFill>
                <a:srgbClr val="00B050"/>
              </a:solidFill>
              <a:ln>
                <a:noFill/>
              </a:ln>
              <a:effectLst/>
            </c:spPr>
          </c:dPt>
          <c:dPt>
            <c:idx val="5"/>
            <c:invertIfNegative val="0"/>
            <c:bubble3D val="0"/>
            <c:spPr>
              <a:solidFill>
                <a:srgbClr val="FF0000"/>
              </a:solidFill>
              <a:ln>
                <a:noFill/>
              </a:ln>
              <a:effectLst/>
            </c:spPr>
          </c:dPt>
          <c:dPt>
            <c:idx val="6"/>
            <c:invertIfNegative val="0"/>
            <c:bubble3D val="0"/>
            <c:spPr>
              <a:solidFill>
                <a:srgbClr val="FF0000"/>
              </a:solidFill>
              <a:ln>
                <a:noFill/>
              </a:ln>
              <a:effectLst/>
            </c:spPr>
          </c:dPt>
          <c:dLbls>
            <c:dLbl>
              <c:idx val="0"/>
              <c:layout>
                <c:manualLayout>
                  <c:x val="0"/>
                  <c:y val="2.3197370964623973E-2"/>
                </c:manualLayout>
              </c:layout>
              <c:showLegendKey val="0"/>
              <c:showVal val="1"/>
              <c:showCatName val="0"/>
              <c:showSerName val="0"/>
              <c:showPercent val="0"/>
              <c:showBubbleSize val="0"/>
              <c:extLst>
                <c:ext xmlns:c15="http://schemas.microsoft.com/office/drawing/2012/chart" uri="{CE6537A1-D6FC-4f65-9D91-7224C49458BB}"/>
              </c:extLst>
            </c:dLbl>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5"/>
              <c:layout>
                <c:manualLayout>
                  <c:x val="9.0588827377956656E-3"/>
                  <c:y val="1.7190991920233798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2511323603422231E-2"/>
                      <c:h val="5.7761732851985562E-2"/>
                    </c:manualLayout>
                  </c15:layout>
                </c:ext>
              </c:extLst>
            </c:dLbl>
            <c:dLbl>
              <c:idx val="6"/>
              <c:layout>
                <c:manualLayout>
                  <c:x val="7.9255317041081987E-8"/>
                  <c:y val="2.750572243451514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6482213125473047E-2"/>
                      <c:h val="6.463812962007907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1</c:v>
                </c:pt>
                <c:pt idx="1">
                  <c:v>8</c:v>
                </c:pt>
                <c:pt idx="2">
                  <c:v>9</c:v>
                </c:pt>
                <c:pt idx="3">
                  <c:v>11</c:v>
                </c:pt>
                <c:pt idx="4">
                  <c:v>13</c:v>
                </c:pt>
                <c:pt idx="5">
                  <c:v>14</c:v>
                </c:pt>
                <c:pt idx="6">
                  <c:v>15</c:v>
                </c:pt>
              </c:numCache>
            </c:numRef>
          </c:cat>
          <c:val>
            <c:numRef>
              <c:f>Лист1!$B$2:$B$8</c:f>
              <c:numCache>
                <c:formatCode>General</c:formatCode>
                <c:ptCount val="7"/>
                <c:pt idx="0">
                  <c:v>71.430000000000007</c:v>
                </c:pt>
                <c:pt idx="1">
                  <c:v>49.21</c:v>
                </c:pt>
                <c:pt idx="2">
                  <c:v>61.11</c:v>
                </c:pt>
                <c:pt idx="3">
                  <c:v>56.75</c:v>
                </c:pt>
                <c:pt idx="4">
                  <c:v>73.81</c:v>
                </c:pt>
                <c:pt idx="5">
                  <c:v>38.090000000000003</c:v>
                </c:pt>
                <c:pt idx="6">
                  <c:v>46.43</c:v>
                </c:pt>
              </c:numCache>
            </c:numRef>
          </c:val>
        </c:ser>
        <c:dLbls>
          <c:showLegendKey val="0"/>
          <c:showVal val="0"/>
          <c:showCatName val="0"/>
          <c:showSerName val="0"/>
          <c:showPercent val="0"/>
          <c:showBubbleSize val="0"/>
        </c:dLbls>
        <c:gapWidth val="219"/>
        <c:overlap val="-27"/>
        <c:axId val="296405944"/>
        <c:axId val="296405160"/>
      </c:barChart>
      <c:lineChart>
        <c:grouping val="standard"/>
        <c:varyColors val="0"/>
        <c:ser>
          <c:idx val="2"/>
          <c:order val="1"/>
          <c:tx>
            <c:strRef>
              <c:f>Лист1!$C$1</c:f>
              <c:strCache>
                <c:ptCount val="1"/>
                <c:pt idx="0">
                  <c:v>Североуральский ГО: индекс ПБ - 55,59</c:v>
                </c:pt>
              </c:strCache>
            </c:strRef>
          </c:tx>
          <c:spPr>
            <a:ln w="28575" cap="rnd">
              <a:solidFill>
                <a:srgbClr val="7030A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Лист1!$C$2:$C$8</c:f>
              <c:numCache>
                <c:formatCode>General</c:formatCode>
                <c:ptCount val="7"/>
                <c:pt idx="0">
                  <c:v>55.59</c:v>
                </c:pt>
                <c:pt idx="1">
                  <c:v>55.59</c:v>
                </c:pt>
                <c:pt idx="2">
                  <c:v>55.59</c:v>
                </c:pt>
                <c:pt idx="3">
                  <c:v>55.59</c:v>
                </c:pt>
                <c:pt idx="4">
                  <c:v>55.59</c:v>
                </c:pt>
                <c:pt idx="5">
                  <c:v>55.59</c:v>
                </c:pt>
                <c:pt idx="6">
                  <c:v>55.59</c:v>
                </c:pt>
              </c:numCache>
            </c:numRef>
          </c:val>
          <c:smooth val="0"/>
        </c:ser>
        <c:ser>
          <c:idx val="3"/>
          <c:order val="2"/>
          <c:tx>
            <c:strRef>
              <c:f>Лист1!$D$1</c:f>
              <c:strCache>
                <c:ptCount val="1"/>
                <c:pt idx="0">
                  <c:v>Свердловская область: индекс ПБ - 52,54</c:v>
                </c:pt>
              </c:strCache>
            </c:strRef>
          </c:tx>
          <c:spPr>
            <a:ln w="28575" cap="rnd">
              <a:solidFill>
                <a:srgbClr val="00B05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Лист1!$D$2:$D$8</c:f>
              <c:numCache>
                <c:formatCode>General</c:formatCode>
                <c:ptCount val="7"/>
                <c:pt idx="0">
                  <c:v>52.54</c:v>
                </c:pt>
                <c:pt idx="1">
                  <c:v>52.54</c:v>
                </c:pt>
                <c:pt idx="2">
                  <c:v>52.54</c:v>
                </c:pt>
                <c:pt idx="3">
                  <c:v>52.54</c:v>
                </c:pt>
                <c:pt idx="4">
                  <c:v>52.54</c:v>
                </c:pt>
                <c:pt idx="5">
                  <c:v>52.54</c:v>
                </c:pt>
                <c:pt idx="6">
                  <c:v>52.54</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Лист1!$E$2:$E$8</c:f>
              <c:numCache>
                <c:formatCode>General</c:formatCode>
                <c:ptCount val="7"/>
              </c:numCache>
            </c:numRef>
          </c:val>
          <c:smooth val="0"/>
        </c:ser>
        <c:dLbls>
          <c:showLegendKey val="0"/>
          <c:showVal val="0"/>
          <c:showCatName val="0"/>
          <c:showSerName val="0"/>
          <c:showPercent val="0"/>
          <c:showBubbleSize val="0"/>
        </c:dLbls>
        <c:marker val="1"/>
        <c:smooth val="0"/>
        <c:axId val="296405944"/>
        <c:axId val="296405160"/>
      </c:lineChart>
      <c:catAx>
        <c:axId val="29640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405160"/>
        <c:crosses val="autoZero"/>
        <c:auto val="1"/>
        <c:lblAlgn val="ctr"/>
        <c:lblOffset val="100"/>
        <c:noMultiLvlLbl val="0"/>
      </c:catAx>
      <c:valAx>
        <c:axId val="296405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405944"/>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50" b="1" i="1">
                <a:solidFill>
                  <a:srgbClr val="7030A0"/>
                </a:solidFill>
                <a:latin typeface="PT Astra Serif" panose="020A0603040505020204" pitchFamily="18" charset="-52"/>
                <a:ea typeface="PT Astra Serif" panose="020A0603040505020204" pitchFamily="18" charset="-52"/>
              </a:rPr>
              <a:t>Распределение</a:t>
            </a:r>
            <a:r>
              <a:rPr lang="ru-RU" sz="125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Английский язык.</a:t>
            </a:r>
            <a:endParaRPr lang="ru-RU" sz="125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00B050"/>
              </a:solidFill>
              <a:ln>
                <a:noFill/>
              </a:ln>
              <a:effectLst/>
            </c:spPr>
          </c:dPt>
          <c:dPt>
            <c:idx val="1"/>
            <c:invertIfNegative val="0"/>
            <c:bubble3D val="0"/>
            <c:spPr>
              <a:solidFill>
                <a:srgbClr val="00B050"/>
              </a:solidFill>
              <a:ln>
                <a:noFill/>
              </a:ln>
              <a:effectLst/>
            </c:spPr>
          </c:dPt>
          <c:dPt>
            <c:idx val="2"/>
            <c:invertIfNegative val="0"/>
            <c:bubble3D val="0"/>
            <c:spPr>
              <a:solidFill>
                <a:srgbClr val="FF0000"/>
              </a:solidFill>
              <a:ln>
                <a:noFill/>
              </a:ln>
              <a:effectLst/>
            </c:spPr>
          </c:dPt>
          <c:dPt>
            <c:idx val="3"/>
            <c:invertIfNegative val="0"/>
            <c:bubble3D val="0"/>
            <c:spPr>
              <a:solidFill>
                <a:srgbClr val="00B050"/>
              </a:solidFill>
              <a:ln>
                <a:noFill/>
              </a:ln>
              <a:effectLst/>
            </c:spPr>
          </c:dPt>
          <c:dPt>
            <c:idx val="4"/>
            <c:invertIfNegative val="0"/>
            <c:bubble3D val="0"/>
            <c:spPr>
              <a:solidFill>
                <a:srgbClr val="FF0000"/>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8</c:v>
                </c:pt>
                <c:pt idx="2">
                  <c:v>9</c:v>
                </c:pt>
                <c:pt idx="3">
                  <c:v>11</c:v>
                </c:pt>
                <c:pt idx="4">
                  <c:v>13</c:v>
                </c:pt>
              </c:numCache>
            </c:numRef>
          </c:cat>
          <c:val>
            <c:numRef>
              <c:f>Лист1!$B$2:$B$6</c:f>
              <c:numCache>
                <c:formatCode>General</c:formatCode>
                <c:ptCount val="5"/>
                <c:pt idx="0">
                  <c:v>68.599999999999994</c:v>
                </c:pt>
                <c:pt idx="1">
                  <c:v>68.599999999999994</c:v>
                </c:pt>
                <c:pt idx="2">
                  <c:v>36.049999999999997</c:v>
                </c:pt>
                <c:pt idx="3">
                  <c:v>73.260000000000005</c:v>
                </c:pt>
                <c:pt idx="4">
                  <c:v>29.07</c:v>
                </c:pt>
              </c:numCache>
            </c:numRef>
          </c:val>
        </c:ser>
        <c:dLbls>
          <c:showLegendKey val="0"/>
          <c:showVal val="0"/>
          <c:showCatName val="0"/>
          <c:showSerName val="0"/>
          <c:showPercent val="0"/>
          <c:showBubbleSize val="0"/>
        </c:dLbls>
        <c:gapWidth val="219"/>
        <c:overlap val="-27"/>
        <c:axId val="296403592"/>
        <c:axId val="296403200"/>
      </c:barChart>
      <c:lineChart>
        <c:grouping val="standard"/>
        <c:varyColors val="0"/>
        <c:ser>
          <c:idx val="2"/>
          <c:order val="1"/>
          <c:tx>
            <c:strRef>
              <c:f>Лист1!$C$1</c:f>
              <c:strCache>
                <c:ptCount val="1"/>
                <c:pt idx="0">
                  <c:v>Североуральский ГО: индекс ПБ - 60,76</c:v>
                </c:pt>
              </c:strCache>
            </c:strRef>
          </c:tx>
          <c:spPr>
            <a:ln w="28575" cap="rnd">
              <a:solidFill>
                <a:srgbClr val="7030A0"/>
              </a:solidFill>
              <a:round/>
            </a:ln>
            <a:effectLst/>
          </c:spPr>
          <c:marker>
            <c:symbol val="none"/>
          </c:marker>
          <c:cat>
            <c:numRef>
              <c:f>Лист1!$A$2:$A$6</c:f>
              <c:numCache>
                <c:formatCode>General</c:formatCode>
                <c:ptCount val="5"/>
                <c:pt idx="0">
                  <c:v>1</c:v>
                </c:pt>
                <c:pt idx="1">
                  <c:v>8</c:v>
                </c:pt>
                <c:pt idx="2">
                  <c:v>9</c:v>
                </c:pt>
                <c:pt idx="3">
                  <c:v>11</c:v>
                </c:pt>
                <c:pt idx="4">
                  <c:v>13</c:v>
                </c:pt>
              </c:numCache>
            </c:numRef>
          </c:cat>
          <c:val>
            <c:numRef>
              <c:f>Лист1!$C$2:$C$6</c:f>
              <c:numCache>
                <c:formatCode>General</c:formatCode>
                <c:ptCount val="5"/>
                <c:pt idx="0">
                  <c:v>60.76</c:v>
                </c:pt>
                <c:pt idx="1">
                  <c:v>60.76</c:v>
                </c:pt>
                <c:pt idx="2">
                  <c:v>60.76</c:v>
                </c:pt>
                <c:pt idx="3">
                  <c:v>60.76</c:v>
                </c:pt>
                <c:pt idx="4">
                  <c:v>60.76</c:v>
                </c:pt>
              </c:numCache>
            </c:numRef>
          </c:val>
          <c:smooth val="0"/>
        </c:ser>
        <c:ser>
          <c:idx val="3"/>
          <c:order val="2"/>
          <c:tx>
            <c:strRef>
              <c:f>Лист1!$D$1</c:f>
              <c:strCache>
                <c:ptCount val="1"/>
                <c:pt idx="0">
                  <c:v>Свердловская область: индекс ПБ - 66,0</c:v>
                </c:pt>
              </c:strCache>
            </c:strRef>
          </c:tx>
          <c:spPr>
            <a:ln w="28575" cap="rnd">
              <a:solidFill>
                <a:srgbClr val="00B050"/>
              </a:solidFill>
              <a:round/>
            </a:ln>
            <a:effectLst/>
          </c:spPr>
          <c:marker>
            <c:symbol val="none"/>
          </c:marker>
          <c:cat>
            <c:numRef>
              <c:f>Лист1!$A$2:$A$6</c:f>
              <c:numCache>
                <c:formatCode>General</c:formatCode>
                <c:ptCount val="5"/>
                <c:pt idx="0">
                  <c:v>1</c:v>
                </c:pt>
                <c:pt idx="1">
                  <c:v>8</c:v>
                </c:pt>
                <c:pt idx="2">
                  <c:v>9</c:v>
                </c:pt>
                <c:pt idx="3">
                  <c:v>11</c:v>
                </c:pt>
                <c:pt idx="4">
                  <c:v>13</c:v>
                </c:pt>
              </c:numCache>
            </c:numRef>
          </c:cat>
          <c:val>
            <c:numRef>
              <c:f>Лист1!$D$2:$D$6</c:f>
              <c:numCache>
                <c:formatCode>General</c:formatCode>
                <c:ptCount val="5"/>
                <c:pt idx="0">
                  <c:v>66</c:v>
                </c:pt>
                <c:pt idx="1">
                  <c:v>66</c:v>
                </c:pt>
                <c:pt idx="2">
                  <c:v>66</c:v>
                </c:pt>
                <c:pt idx="3">
                  <c:v>66</c:v>
                </c:pt>
                <c:pt idx="4">
                  <c:v>66</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Лист1!$A$2:$A$6</c:f>
              <c:numCache>
                <c:formatCode>General</c:formatCode>
                <c:ptCount val="5"/>
                <c:pt idx="0">
                  <c:v>1</c:v>
                </c:pt>
                <c:pt idx="1">
                  <c:v>8</c:v>
                </c:pt>
                <c:pt idx="2">
                  <c:v>9</c:v>
                </c:pt>
                <c:pt idx="3">
                  <c:v>11</c:v>
                </c:pt>
                <c:pt idx="4">
                  <c:v>13</c:v>
                </c:pt>
              </c:numCache>
            </c:numRef>
          </c:cat>
          <c:val>
            <c:numRef>
              <c:f>Лист1!$E$2:$E$6</c:f>
              <c:numCache>
                <c:formatCode>General</c:formatCode>
                <c:ptCount val="5"/>
              </c:numCache>
            </c:numRef>
          </c:val>
          <c:smooth val="0"/>
        </c:ser>
        <c:dLbls>
          <c:showLegendKey val="0"/>
          <c:showVal val="0"/>
          <c:showCatName val="0"/>
          <c:showSerName val="0"/>
          <c:showPercent val="0"/>
          <c:showBubbleSize val="0"/>
        </c:dLbls>
        <c:marker val="1"/>
        <c:smooth val="0"/>
        <c:axId val="296403592"/>
        <c:axId val="296403200"/>
      </c:lineChart>
      <c:catAx>
        <c:axId val="296403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403200"/>
        <c:crosses val="autoZero"/>
        <c:auto val="1"/>
        <c:lblAlgn val="ctr"/>
        <c:lblOffset val="100"/>
        <c:noMultiLvlLbl val="0"/>
      </c:catAx>
      <c:valAx>
        <c:axId val="29640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403592"/>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PT Astra Serif" panose="020A0603040505020204" pitchFamily="18" charset="-52"/>
                <a:ea typeface="PT Astra Serif" panose="020A0603040505020204" pitchFamily="18" charset="-52"/>
              </a:rPr>
              <a:t>Распределение</a:t>
            </a:r>
            <a:r>
              <a:rPr lang="ru-RU" sz="12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Математика базовая.</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FF0000"/>
              </a:solidFill>
              <a:ln>
                <a:noFill/>
              </a:ln>
              <a:effectLst/>
            </c:spPr>
          </c:dPt>
          <c:dPt>
            <c:idx val="1"/>
            <c:invertIfNegative val="0"/>
            <c:bubble3D val="0"/>
            <c:spPr>
              <a:solidFill>
                <a:schemeClr val="bg2">
                  <a:lumMod val="50000"/>
                </a:schemeClr>
              </a:solidFill>
              <a:ln>
                <a:noFill/>
              </a:ln>
              <a:effectLst/>
            </c:spPr>
          </c:dPt>
          <c:dPt>
            <c:idx val="2"/>
            <c:invertIfNegative val="0"/>
            <c:bubble3D val="0"/>
            <c:spPr>
              <a:solidFill>
                <a:srgbClr val="00B050"/>
              </a:solidFill>
              <a:ln>
                <a:noFill/>
              </a:ln>
              <a:effectLst/>
            </c:spPr>
          </c:dPt>
          <c:dPt>
            <c:idx val="3"/>
            <c:invertIfNegative val="0"/>
            <c:bubble3D val="0"/>
            <c:spPr>
              <a:solidFill>
                <a:srgbClr val="00B050"/>
              </a:solidFill>
              <a:ln>
                <a:noFill/>
              </a:ln>
              <a:effectLst/>
            </c:spPr>
          </c:dPt>
          <c:dPt>
            <c:idx val="4"/>
            <c:invertIfNegative val="0"/>
            <c:bubble3D val="0"/>
            <c:spPr>
              <a:solidFill>
                <a:schemeClr val="bg2">
                  <a:lumMod val="50000"/>
                </a:schemeClr>
              </a:solidFill>
              <a:ln>
                <a:noFill/>
              </a:ln>
              <a:effectLst/>
            </c:spPr>
          </c:dPt>
          <c:dPt>
            <c:idx val="5"/>
            <c:invertIfNegative val="0"/>
            <c:bubble3D val="0"/>
            <c:spPr>
              <a:solidFill>
                <a:srgbClr val="FF0000"/>
              </a:solidFill>
              <a:ln>
                <a:noFill/>
              </a:ln>
              <a:effectLst/>
            </c:spPr>
          </c:dPt>
          <c:dPt>
            <c:idx val="6"/>
            <c:invertIfNegative val="0"/>
            <c:bubble3D val="0"/>
            <c:spPr>
              <a:solidFill>
                <a:srgbClr val="FF0000"/>
              </a:solidFill>
              <a:ln>
                <a:noFill/>
              </a:ln>
              <a:effectLst/>
            </c:spPr>
          </c:dPt>
          <c:dLbls>
            <c:dLbl>
              <c:idx val="2"/>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5"/>
              <c:layout>
                <c:manualLayout>
                  <c:x val="0"/>
                  <c:y val="1.031459515214027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3935581278309E-2"/>
                      <c:h val="4.4008939315798523E-2"/>
                    </c:manualLayout>
                  </c15:layout>
                </c:ext>
              </c:extLst>
            </c:dLbl>
            <c:dLbl>
              <c:idx val="6"/>
              <c:layout>
                <c:manualLayout>
                  <c:x val="7.9255317041081987E-8"/>
                  <c:y val="2.750572243451514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6482213125473047E-2"/>
                      <c:h val="6.463812962007907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1</c:v>
                </c:pt>
                <c:pt idx="1">
                  <c:v>8</c:v>
                </c:pt>
                <c:pt idx="2">
                  <c:v>9</c:v>
                </c:pt>
                <c:pt idx="3">
                  <c:v>11</c:v>
                </c:pt>
                <c:pt idx="4">
                  <c:v>13</c:v>
                </c:pt>
                <c:pt idx="5">
                  <c:v>14</c:v>
                </c:pt>
                <c:pt idx="6">
                  <c:v>15</c:v>
                </c:pt>
              </c:numCache>
            </c:numRef>
          </c:cat>
          <c:val>
            <c:numRef>
              <c:f>Лист1!$B$2:$B$8</c:f>
              <c:numCache>
                <c:formatCode>General</c:formatCode>
                <c:ptCount val="7"/>
                <c:pt idx="0">
                  <c:v>59.52</c:v>
                </c:pt>
                <c:pt idx="1">
                  <c:v>69.17</c:v>
                </c:pt>
                <c:pt idx="2">
                  <c:v>75.790000000000006</c:v>
                </c:pt>
                <c:pt idx="3">
                  <c:v>73.81</c:v>
                </c:pt>
                <c:pt idx="4">
                  <c:v>71.09</c:v>
                </c:pt>
                <c:pt idx="5">
                  <c:v>61.9</c:v>
                </c:pt>
                <c:pt idx="6">
                  <c:v>65.08</c:v>
                </c:pt>
              </c:numCache>
            </c:numRef>
          </c:val>
        </c:ser>
        <c:dLbls>
          <c:showLegendKey val="0"/>
          <c:showVal val="0"/>
          <c:showCatName val="0"/>
          <c:showSerName val="0"/>
          <c:showPercent val="0"/>
          <c:showBubbleSize val="0"/>
        </c:dLbls>
        <c:gapWidth val="219"/>
        <c:overlap val="-27"/>
        <c:axId val="296983488"/>
        <c:axId val="296980352"/>
      </c:barChart>
      <c:lineChart>
        <c:grouping val="standard"/>
        <c:varyColors val="0"/>
        <c:ser>
          <c:idx val="2"/>
          <c:order val="1"/>
          <c:tx>
            <c:strRef>
              <c:f>Лист1!$C$1</c:f>
              <c:strCache>
                <c:ptCount val="1"/>
                <c:pt idx="0">
                  <c:v>Североуральский ГО: индекс ПБ - 69,87</c:v>
                </c:pt>
              </c:strCache>
            </c:strRef>
          </c:tx>
          <c:spPr>
            <a:ln w="28575" cap="rnd">
              <a:solidFill>
                <a:srgbClr val="7030A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Лист1!$C$2:$C$8</c:f>
              <c:numCache>
                <c:formatCode>General</c:formatCode>
                <c:ptCount val="7"/>
                <c:pt idx="0">
                  <c:v>69.87</c:v>
                </c:pt>
                <c:pt idx="1">
                  <c:v>69.87</c:v>
                </c:pt>
                <c:pt idx="2">
                  <c:v>69.87</c:v>
                </c:pt>
                <c:pt idx="3">
                  <c:v>69.87</c:v>
                </c:pt>
                <c:pt idx="4">
                  <c:v>69.87</c:v>
                </c:pt>
                <c:pt idx="5">
                  <c:v>69.87</c:v>
                </c:pt>
                <c:pt idx="6">
                  <c:v>69.87</c:v>
                </c:pt>
              </c:numCache>
            </c:numRef>
          </c:val>
          <c:smooth val="0"/>
        </c:ser>
        <c:ser>
          <c:idx val="3"/>
          <c:order val="2"/>
          <c:tx>
            <c:strRef>
              <c:f>Лист1!$D$1</c:f>
              <c:strCache>
                <c:ptCount val="1"/>
                <c:pt idx="0">
                  <c:v>Свердловская область: индекс ПБ - 70,6</c:v>
                </c:pt>
              </c:strCache>
            </c:strRef>
          </c:tx>
          <c:spPr>
            <a:ln w="28575" cap="rnd">
              <a:solidFill>
                <a:srgbClr val="00B05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Лист1!$D$2:$D$8</c:f>
              <c:numCache>
                <c:formatCode>General</c:formatCode>
                <c:ptCount val="7"/>
                <c:pt idx="0">
                  <c:v>70.599999999999994</c:v>
                </c:pt>
                <c:pt idx="1">
                  <c:v>70.599999999999994</c:v>
                </c:pt>
                <c:pt idx="2">
                  <c:v>70.599999999999994</c:v>
                </c:pt>
                <c:pt idx="3">
                  <c:v>70.599999999999994</c:v>
                </c:pt>
                <c:pt idx="4">
                  <c:v>70.599999999999994</c:v>
                </c:pt>
                <c:pt idx="5">
                  <c:v>70.599999999999994</c:v>
                </c:pt>
                <c:pt idx="6">
                  <c:v>70.599999999999994</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Лист1!$E$2:$E$8</c:f>
              <c:numCache>
                <c:formatCode>General</c:formatCode>
                <c:ptCount val="7"/>
              </c:numCache>
            </c:numRef>
          </c:val>
          <c:smooth val="0"/>
        </c:ser>
        <c:dLbls>
          <c:showLegendKey val="0"/>
          <c:showVal val="0"/>
          <c:showCatName val="0"/>
          <c:showSerName val="0"/>
          <c:showPercent val="0"/>
          <c:showBubbleSize val="0"/>
        </c:dLbls>
        <c:marker val="1"/>
        <c:smooth val="0"/>
        <c:axId val="296983488"/>
        <c:axId val="296980352"/>
      </c:lineChart>
      <c:catAx>
        <c:axId val="29698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80352"/>
        <c:crosses val="autoZero"/>
        <c:auto val="1"/>
        <c:lblAlgn val="ctr"/>
        <c:lblOffset val="100"/>
        <c:noMultiLvlLbl val="0"/>
      </c:catAx>
      <c:valAx>
        <c:axId val="29698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83488"/>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5091123800767983E-2"/>
          <c:y val="0.85551974910104756"/>
          <c:w val="0.93270811455563529"/>
          <c:h val="0.10274216524216524"/>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PT Astra Serif" panose="020A0603040505020204" pitchFamily="18" charset="-52"/>
                <a:ea typeface="PT Astra Serif" panose="020A0603040505020204" pitchFamily="18" charset="-52"/>
              </a:rPr>
              <a:t>Распределение</a:t>
            </a:r>
            <a:r>
              <a:rPr lang="ru-RU" sz="12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Русский язык.</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bg2">
                <a:lumMod val="50000"/>
              </a:schemeClr>
            </a:solidFill>
            <a:ln>
              <a:noFill/>
            </a:ln>
            <a:effectLst/>
          </c:spPr>
          <c:invertIfNegative val="0"/>
          <c:dPt>
            <c:idx val="0"/>
            <c:invertIfNegative val="0"/>
            <c:bubble3D val="0"/>
            <c:spPr>
              <a:solidFill>
                <a:schemeClr val="bg2">
                  <a:lumMod val="50000"/>
                </a:schemeClr>
              </a:solidFill>
              <a:ln>
                <a:noFill/>
              </a:ln>
              <a:effectLst/>
            </c:spPr>
          </c:dPt>
          <c:dPt>
            <c:idx val="1"/>
            <c:invertIfNegative val="0"/>
            <c:bubble3D val="0"/>
            <c:spPr>
              <a:solidFill>
                <a:schemeClr val="bg2">
                  <a:lumMod val="50000"/>
                </a:schemeClr>
              </a:solidFill>
              <a:ln>
                <a:noFill/>
              </a:ln>
              <a:effectLst/>
            </c:spPr>
          </c:dPt>
          <c:dPt>
            <c:idx val="2"/>
            <c:invertIfNegative val="0"/>
            <c:bubble3D val="0"/>
            <c:spPr>
              <a:solidFill>
                <a:schemeClr val="bg2">
                  <a:lumMod val="50000"/>
                </a:schemeClr>
              </a:solidFill>
              <a:ln>
                <a:noFill/>
              </a:ln>
              <a:effectLst/>
            </c:spPr>
          </c:dPt>
          <c:dPt>
            <c:idx val="3"/>
            <c:invertIfNegative val="0"/>
            <c:bubble3D val="0"/>
            <c:spPr>
              <a:solidFill>
                <a:schemeClr val="bg2">
                  <a:lumMod val="50000"/>
                </a:schemeClr>
              </a:solidFill>
              <a:ln>
                <a:noFill/>
              </a:ln>
              <a:effectLst/>
            </c:spPr>
          </c:dPt>
          <c:dPt>
            <c:idx val="4"/>
            <c:invertIfNegative val="0"/>
            <c:bubble3D val="0"/>
            <c:spPr>
              <a:solidFill>
                <a:schemeClr val="bg2">
                  <a:lumMod val="50000"/>
                </a:schemeClr>
              </a:solidFill>
              <a:ln>
                <a:noFill/>
              </a:ln>
              <a:effectLst/>
            </c:spPr>
          </c:dPt>
          <c:dPt>
            <c:idx val="5"/>
            <c:invertIfNegative val="0"/>
            <c:bubble3D val="0"/>
            <c:spPr>
              <a:solidFill>
                <a:srgbClr val="FF0000"/>
              </a:solidFill>
              <a:ln>
                <a:noFill/>
              </a:ln>
              <a:effectLst/>
            </c:spPr>
          </c:dPt>
          <c:dPt>
            <c:idx val="6"/>
            <c:invertIfNegative val="0"/>
            <c:bubble3D val="0"/>
            <c:spPr>
              <a:solidFill>
                <a:schemeClr val="bg2">
                  <a:lumMod val="50000"/>
                </a:schemeClr>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5"/>
              <c:layout>
                <c:manualLayout>
                  <c:x val="9.0588827377956656E-3"/>
                  <c:y val="1.7190991920233798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2511323603422231E-2"/>
                      <c:h val="5.7761732851985562E-2"/>
                    </c:manualLayout>
                  </c15:layout>
                </c:ext>
              </c:extLst>
            </c:dLbl>
            <c:dLbl>
              <c:idx val="6"/>
              <c:layout>
                <c:manualLayout>
                  <c:x val="7.9255317041081987E-8"/>
                  <c:y val="2.750572243451514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6482213125473047E-2"/>
                      <c:h val="6.463812962007907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1</c:v>
                </c:pt>
                <c:pt idx="1">
                  <c:v>8</c:v>
                </c:pt>
                <c:pt idx="2">
                  <c:v>9</c:v>
                </c:pt>
                <c:pt idx="3">
                  <c:v>11</c:v>
                </c:pt>
                <c:pt idx="4">
                  <c:v>13</c:v>
                </c:pt>
                <c:pt idx="5">
                  <c:v>14</c:v>
                </c:pt>
                <c:pt idx="6">
                  <c:v>15</c:v>
                </c:pt>
              </c:numCache>
            </c:numRef>
          </c:cat>
          <c:val>
            <c:numRef>
              <c:f>Лист1!$B$2:$B$8</c:f>
              <c:numCache>
                <c:formatCode>General</c:formatCode>
                <c:ptCount val="7"/>
                <c:pt idx="0">
                  <c:v>65.37</c:v>
                </c:pt>
                <c:pt idx="1">
                  <c:v>69.47</c:v>
                </c:pt>
                <c:pt idx="2">
                  <c:v>67.88</c:v>
                </c:pt>
                <c:pt idx="3">
                  <c:v>69.180000000000007</c:v>
                </c:pt>
                <c:pt idx="4">
                  <c:v>69.239999999999995</c:v>
                </c:pt>
                <c:pt idx="5">
                  <c:v>56.33</c:v>
                </c:pt>
                <c:pt idx="6">
                  <c:v>68.150000000000006</c:v>
                </c:pt>
              </c:numCache>
            </c:numRef>
          </c:val>
        </c:ser>
        <c:dLbls>
          <c:showLegendKey val="0"/>
          <c:showVal val="0"/>
          <c:showCatName val="0"/>
          <c:showSerName val="0"/>
          <c:showPercent val="0"/>
          <c:showBubbleSize val="0"/>
        </c:dLbls>
        <c:gapWidth val="219"/>
        <c:overlap val="-27"/>
        <c:axId val="296982704"/>
        <c:axId val="296982312"/>
      </c:barChart>
      <c:lineChart>
        <c:grouping val="standard"/>
        <c:varyColors val="0"/>
        <c:ser>
          <c:idx val="2"/>
          <c:order val="1"/>
          <c:tx>
            <c:strRef>
              <c:f>Лист1!$C$1</c:f>
              <c:strCache>
                <c:ptCount val="1"/>
                <c:pt idx="0">
                  <c:v>Североуральский ГО: индекс ПБ - 66,85</c:v>
                </c:pt>
              </c:strCache>
            </c:strRef>
          </c:tx>
          <c:spPr>
            <a:ln w="28575" cap="rnd">
              <a:solidFill>
                <a:srgbClr val="7030A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Лист1!$C$2:$C$8</c:f>
              <c:numCache>
                <c:formatCode>General</c:formatCode>
                <c:ptCount val="7"/>
                <c:pt idx="0">
                  <c:v>66.849999999999994</c:v>
                </c:pt>
                <c:pt idx="1">
                  <c:v>66.849999999999994</c:v>
                </c:pt>
                <c:pt idx="2">
                  <c:v>66.849999999999994</c:v>
                </c:pt>
                <c:pt idx="3">
                  <c:v>66.849999999999994</c:v>
                </c:pt>
                <c:pt idx="4">
                  <c:v>66.849999999999994</c:v>
                </c:pt>
                <c:pt idx="5">
                  <c:v>66.849999999999994</c:v>
                </c:pt>
                <c:pt idx="6">
                  <c:v>66.849999999999994</c:v>
                </c:pt>
              </c:numCache>
            </c:numRef>
          </c:val>
          <c:smooth val="0"/>
        </c:ser>
        <c:ser>
          <c:idx val="3"/>
          <c:order val="2"/>
          <c:tx>
            <c:strRef>
              <c:f>Лист1!$D$1</c:f>
              <c:strCache>
                <c:ptCount val="1"/>
                <c:pt idx="0">
                  <c:v>Свердловская область: индекс ПБ - 68,87</c:v>
                </c:pt>
              </c:strCache>
            </c:strRef>
          </c:tx>
          <c:spPr>
            <a:ln w="28575" cap="rnd">
              <a:solidFill>
                <a:srgbClr val="00B050"/>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Лист1!$D$2:$D$8</c:f>
              <c:numCache>
                <c:formatCode>General</c:formatCode>
                <c:ptCount val="7"/>
                <c:pt idx="0">
                  <c:v>68.87</c:v>
                </c:pt>
                <c:pt idx="1">
                  <c:v>68.87</c:v>
                </c:pt>
                <c:pt idx="2">
                  <c:v>68.87</c:v>
                </c:pt>
                <c:pt idx="3">
                  <c:v>68.87</c:v>
                </c:pt>
                <c:pt idx="4">
                  <c:v>68.87</c:v>
                </c:pt>
                <c:pt idx="5">
                  <c:v>68.87</c:v>
                </c:pt>
                <c:pt idx="6">
                  <c:v>68.87</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Лист1!$A$2:$A$8</c:f>
              <c:numCache>
                <c:formatCode>General</c:formatCode>
                <c:ptCount val="7"/>
                <c:pt idx="0">
                  <c:v>1</c:v>
                </c:pt>
                <c:pt idx="1">
                  <c:v>8</c:v>
                </c:pt>
                <c:pt idx="2">
                  <c:v>9</c:v>
                </c:pt>
                <c:pt idx="3">
                  <c:v>11</c:v>
                </c:pt>
                <c:pt idx="4">
                  <c:v>13</c:v>
                </c:pt>
                <c:pt idx="5">
                  <c:v>14</c:v>
                </c:pt>
                <c:pt idx="6">
                  <c:v>15</c:v>
                </c:pt>
              </c:numCache>
            </c:numRef>
          </c:cat>
          <c:val>
            <c:numRef>
              <c:f>Лист1!$E$2:$E$8</c:f>
              <c:numCache>
                <c:formatCode>General</c:formatCode>
                <c:ptCount val="7"/>
              </c:numCache>
            </c:numRef>
          </c:val>
          <c:smooth val="0"/>
        </c:ser>
        <c:dLbls>
          <c:showLegendKey val="0"/>
          <c:showVal val="0"/>
          <c:showCatName val="0"/>
          <c:showSerName val="0"/>
          <c:showPercent val="0"/>
          <c:showBubbleSize val="0"/>
        </c:dLbls>
        <c:marker val="1"/>
        <c:smooth val="0"/>
        <c:axId val="296982704"/>
        <c:axId val="296982312"/>
      </c:lineChart>
      <c:catAx>
        <c:axId val="29698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82312"/>
        <c:crosses val="autoZero"/>
        <c:auto val="1"/>
        <c:lblAlgn val="ctr"/>
        <c:lblOffset val="100"/>
        <c:noMultiLvlLbl val="0"/>
      </c:catAx>
      <c:valAx>
        <c:axId val="296982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82704"/>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50" b="1" i="1">
                <a:solidFill>
                  <a:srgbClr val="7030A0"/>
                </a:solidFill>
                <a:latin typeface="PT Astra Serif" panose="020A0603040505020204" pitchFamily="18" charset="-52"/>
                <a:ea typeface="PT Astra Serif" panose="020A0603040505020204" pitchFamily="18" charset="-52"/>
              </a:rPr>
              <a:t>Распределение</a:t>
            </a:r>
            <a:r>
              <a:rPr lang="ru-RU" sz="125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Литература.</a:t>
            </a:r>
            <a:endParaRPr lang="ru-RU" sz="125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chemeClr val="bg2">
                  <a:lumMod val="50000"/>
                </a:schemeClr>
              </a:solidFill>
              <a:ln>
                <a:noFill/>
              </a:ln>
              <a:effectLst/>
            </c:spPr>
          </c:dPt>
          <c:dPt>
            <c:idx val="1"/>
            <c:invertIfNegative val="0"/>
            <c:bubble3D val="0"/>
            <c:spPr>
              <a:solidFill>
                <a:srgbClr val="00B050"/>
              </a:solidFill>
              <a:ln>
                <a:noFill/>
              </a:ln>
              <a:effectLst/>
            </c:spPr>
          </c:dPt>
          <c:dPt>
            <c:idx val="2"/>
            <c:invertIfNegative val="0"/>
            <c:bubble3D val="0"/>
            <c:spPr>
              <a:solidFill>
                <a:srgbClr val="FF0000"/>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8</c:v>
                </c:pt>
                <c:pt idx="1">
                  <c:v>9</c:v>
                </c:pt>
                <c:pt idx="2">
                  <c:v>14</c:v>
                </c:pt>
              </c:numCache>
            </c:numRef>
          </c:cat>
          <c:val>
            <c:numRef>
              <c:f>Лист1!$B$2:$B$4</c:f>
              <c:numCache>
                <c:formatCode>General</c:formatCode>
                <c:ptCount val="3"/>
                <c:pt idx="0">
                  <c:v>88.36</c:v>
                </c:pt>
                <c:pt idx="1">
                  <c:v>91.19</c:v>
                </c:pt>
                <c:pt idx="2">
                  <c:v>64.150000000000006</c:v>
                </c:pt>
              </c:numCache>
            </c:numRef>
          </c:val>
        </c:ser>
        <c:dLbls>
          <c:showLegendKey val="0"/>
          <c:showVal val="0"/>
          <c:showCatName val="0"/>
          <c:showSerName val="0"/>
          <c:showPercent val="0"/>
          <c:showBubbleSize val="0"/>
        </c:dLbls>
        <c:gapWidth val="219"/>
        <c:overlap val="-27"/>
        <c:axId val="296976432"/>
        <c:axId val="296985056"/>
      </c:barChart>
      <c:lineChart>
        <c:grouping val="standard"/>
        <c:varyColors val="0"/>
        <c:ser>
          <c:idx val="2"/>
          <c:order val="1"/>
          <c:tx>
            <c:strRef>
              <c:f>Лист1!$C$1</c:f>
              <c:strCache>
                <c:ptCount val="1"/>
                <c:pt idx="0">
                  <c:v>Североуральский ГО: индекс ПБ - 86,79</c:v>
                </c:pt>
              </c:strCache>
            </c:strRef>
          </c:tx>
          <c:spPr>
            <a:ln w="28575" cap="rnd">
              <a:solidFill>
                <a:srgbClr val="7030A0"/>
              </a:solidFill>
              <a:round/>
            </a:ln>
            <a:effectLst/>
          </c:spPr>
          <c:marker>
            <c:symbol val="none"/>
          </c:marker>
          <c:cat>
            <c:numRef>
              <c:f>Лист1!$A$2:$A$4</c:f>
              <c:numCache>
                <c:formatCode>General</c:formatCode>
                <c:ptCount val="3"/>
                <c:pt idx="0">
                  <c:v>8</c:v>
                </c:pt>
                <c:pt idx="1">
                  <c:v>9</c:v>
                </c:pt>
                <c:pt idx="2">
                  <c:v>14</c:v>
                </c:pt>
              </c:numCache>
            </c:numRef>
          </c:cat>
          <c:val>
            <c:numRef>
              <c:f>Лист1!$C$2:$C$4</c:f>
              <c:numCache>
                <c:formatCode>General</c:formatCode>
                <c:ptCount val="3"/>
                <c:pt idx="0">
                  <c:v>86.79</c:v>
                </c:pt>
                <c:pt idx="1">
                  <c:v>86.79</c:v>
                </c:pt>
                <c:pt idx="2">
                  <c:v>86.79</c:v>
                </c:pt>
              </c:numCache>
            </c:numRef>
          </c:val>
          <c:smooth val="0"/>
        </c:ser>
        <c:ser>
          <c:idx val="3"/>
          <c:order val="2"/>
          <c:tx>
            <c:strRef>
              <c:f>Лист1!$D$1</c:f>
              <c:strCache>
                <c:ptCount val="1"/>
                <c:pt idx="0">
                  <c:v>Свердловская область: индекс ПБ - 78,56</c:v>
                </c:pt>
              </c:strCache>
            </c:strRef>
          </c:tx>
          <c:spPr>
            <a:ln w="28575" cap="rnd">
              <a:solidFill>
                <a:srgbClr val="00B050"/>
              </a:solidFill>
              <a:round/>
            </a:ln>
            <a:effectLst/>
          </c:spPr>
          <c:marker>
            <c:symbol val="none"/>
          </c:marker>
          <c:cat>
            <c:numRef>
              <c:f>Лист1!$A$2:$A$4</c:f>
              <c:numCache>
                <c:formatCode>General</c:formatCode>
                <c:ptCount val="3"/>
                <c:pt idx="0">
                  <c:v>8</c:v>
                </c:pt>
                <c:pt idx="1">
                  <c:v>9</c:v>
                </c:pt>
                <c:pt idx="2">
                  <c:v>14</c:v>
                </c:pt>
              </c:numCache>
            </c:numRef>
          </c:cat>
          <c:val>
            <c:numRef>
              <c:f>Лист1!$D$2:$D$4</c:f>
              <c:numCache>
                <c:formatCode>General</c:formatCode>
                <c:ptCount val="3"/>
                <c:pt idx="0">
                  <c:v>78.56</c:v>
                </c:pt>
                <c:pt idx="1">
                  <c:v>78.56</c:v>
                </c:pt>
                <c:pt idx="2">
                  <c:v>78.56</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Лист1!$A$2:$A$4</c:f>
              <c:numCache>
                <c:formatCode>General</c:formatCode>
                <c:ptCount val="3"/>
                <c:pt idx="0">
                  <c:v>8</c:v>
                </c:pt>
                <c:pt idx="1">
                  <c:v>9</c:v>
                </c:pt>
                <c:pt idx="2">
                  <c:v>14</c:v>
                </c:pt>
              </c:numCache>
            </c:numRef>
          </c:cat>
          <c:val>
            <c:numRef>
              <c:f>Лист1!$E$2:$E$4</c:f>
              <c:numCache>
                <c:formatCode>General</c:formatCode>
                <c:ptCount val="3"/>
              </c:numCache>
            </c:numRef>
          </c:val>
          <c:smooth val="0"/>
        </c:ser>
        <c:dLbls>
          <c:showLegendKey val="0"/>
          <c:showVal val="0"/>
          <c:showCatName val="0"/>
          <c:showSerName val="0"/>
          <c:showPercent val="0"/>
          <c:showBubbleSize val="0"/>
        </c:dLbls>
        <c:marker val="1"/>
        <c:smooth val="0"/>
        <c:axId val="296976432"/>
        <c:axId val="296985056"/>
      </c:lineChart>
      <c:catAx>
        <c:axId val="29697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85056"/>
        <c:crosses val="autoZero"/>
        <c:auto val="1"/>
        <c:lblAlgn val="ctr"/>
        <c:lblOffset val="100"/>
        <c:noMultiLvlLbl val="0"/>
      </c:catAx>
      <c:valAx>
        <c:axId val="29698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76432"/>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PT Astra Serif" panose="020A0603040505020204" pitchFamily="18" charset="-52"/>
                <a:ea typeface="PT Astra Serif" panose="020A0603040505020204" pitchFamily="18" charset="-52"/>
              </a:rPr>
              <a:t>Распределение</a:t>
            </a:r>
            <a:r>
              <a:rPr lang="ru-RU" sz="12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Информатика и ИКТ.</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00B050"/>
              </a:solidFill>
              <a:ln>
                <a:noFill/>
              </a:ln>
              <a:effectLst/>
            </c:spPr>
          </c:dPt>
          <c:dPt>
            <c:idx val="1"/>
            <c:invertIfNegative val="0"/>
            <c:bubble3D val="0"/>
            <c:spPr>
              <a:solidFill>
                <a:srgbClr val="FF0000"/>
              </a:solidFill>
              <a:ln>
                <a:noFill/>
              </a:ln>
              <a:effectLst/>
            </c:spPr>
          </c:dPt>
          <c:dPt>
            <c:idx val="2"/>
            <c:invertIfNegative val="0"/>
            <c:bubble3D val="0"/>
            <c:spPr>
              <a:solidFill>
                <a:srgbClr val="00B050"/>
              </a:solidFill>
              <a:ln>
                <a:noFill/>
              </a:ln>
              <a:effectLst/>
            </c:spPr>
          </c:dPt>
          <c:dPt>
            <c:idx val="3"/>
            <c:invertIfNegative val="0"/>
            <c:bubble3D val="0"/>
            <c:spPr>
              <a:solidFill>
                <a:srgbClr val="FF0000"/>
              </a:solidFill>
              <a:ln>
                <a:noFill/>
              </a:ln>
              <a:effectLst/>
            </c:spPr>
          </c:dPt>
          <c:dPt>
            <c:idx val="4"/>
            <c:invertIfNegative val="0"/>
            <c:bubble3D val="0"/>
            <c:spPr>
              <a:solidFill>
                <a:schemeClr val="bg2">
                  <a:lumMod val="50000"/>
                </a:schemeClr>
              </a:solidFill>
              <a:ln>
                <a:noFill/>
              </a:ln>
              <a:effectLst/>
            </c:spPr>
          </c:dPt>
          <c:dPt>
            <c:idx val="5"/>
            <c:invertIfNegative val="0"/>
            <c:bubble3D val="0"/>
            <c:spPr>
              <a:solidFill>
                <a:srgbClr val="FF0000"/>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5"/>
              <c:layout>
                <c:manualLayout>
                  <c:x val="9.0588827377956656E-3"/>
                  <c:y val="1.7190991920233798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2511323603422231E-2"/>
                      <c:h val="5.776173285198556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8</c:v>
                </c:pt>
                <c:pt idx="2">
                  <c:v>9</c:v>
                </c:pt>
                <c:pt idx="3">
                  <c:v>11</c:v>
                </c:pt>
                <c:pt idx="4">
                  <c:v>13</c:v>
                </c:pt>
                <c:pt idx="5">
                  <c:v>14</c:v>
                </c:pt>
              </c:numCache>
            </c:numRef>
          </c:cat>
          <c:val>
            <c:numRef>
              <c:f>Лист1!$B$2:$B$7</c:f>
              <c:numCache>
                <c:formatCode>General</c:formatCode>
                <c:ptCount val="6"/>
                <c:pt idx="0">
                  <c:v>51.15</c:v>
                </c:pt>
                <c:pt idx="1">
                  <c:v>33</c:v>
                </c:pt>
                <c:pt idx="2">
                  <c:v>55.17</c:v>
                </c:pt>
                <c:pt idx="3">
                  <c:v>25.86</c:v>
                </c:pt>
                <c:pt idx="4">
                  <c:v>40.520000000000003</c:v>
                </c:pt>
                <c:pt idx="5">
                  <c:v>22.41</c:v>
                </c:pt>
              </c:numCache>
            </c:numRef>
          </c:val>
        </c:ser>
        <c:dLbls>
          <c:showLegendKey val="0"/>
          <c:showVal val="0"/>
          <c:showCatName val="0"/>
          <c:showSerName val="0"/>
          <c:showPercent val="0"/>
          <c:showBubbleSize val="0"/>
        </c:dLbls>
        <c:gapWidth val="219"/>
        <c:overlap val="-27"/>
        <c:axId val="296985840"/>
        <c:axId val="296986232"/>
      </c:barChart>
      <c:lineChart>
        <c:grouping val="standard"/>
        <c:varyColors val="0"/>
        <c:ser>
          <c:idx val="2"/>
          <c:order val="1"/>
          <c:tx>
            <c:strRef>
              <c:f>Лист1!$C$1</c:f>
              <c:strCache>
                <c:ptCount val="1"/>
                <c:pt idx="0">
                  <c:v>Североуральский ГО: индекс ПБ - 37,81</c:v>
                </c:pt>
              </c:strCache>
            </c:strRef>
          </c:tx>
          <c:spPr>
            <a:ln w="28575" cap="rnd">
              <a:solidFill>
                <a:srgbClr val="7030A0"/>
              </a:solidFill>
              <a:round/>
            </a:ln>
            <a:effectLst/>
          </c:spPr>
          <c:marker>
            <c:symbol val="none"/>
          </c:marker>
          <c:cat>
            <c:numRef>
              <c:f>Лист1!$A$2:$A$7</c:f>
              <c:numCache>
                <c:formatCode>General</c:formatCode>
                <c:ptCount val="6"/>
                <c:pt idx="0">
                  <c:v>1</c:v>
                </c:pt>
                <c:pt idx="1">
                  <c:v>8</c:v>
                </c:pt>
                <c:pt idx="2">
                  <c:v>9</c:v>
                </c:pt>
                <c:pt idx="3">
                  <c:v>11</c:v>
                </c:pt>
                <c:pt idx="4">
                  <c:v>13</c:v>
                </c:pt>
                <c:pt idx="5">
                  <c:v>14</c:v>
                </c:pt>
              </c:numCache>
            </c:numRef>
          </c:cat>
          <c:val>
            <c:numRef>
              <c:f>Лист1!$C$2:$C$7</c:f>
              <c:numCache>
                <c:formatCode>General</c:formatCode>
                <c:ptCount val="6"/>
                <c:pt idx="0">
                  <c:v>37.81</c:v>
                </c:pt>
                <c:pt idx="1">
                  <c:v>37.81</c:v>
                </c:pt>
                <c:pt idx="2">
                  <c:v>37.81</c:v>
                </c:pt>
                <c:pt idx="3">
                  <c:v>37.81</c:v>
                </c:pt>
                <c:pt idx="4">
                  <c:v>37.81</c:v>
                </c:pt>
                <c:pt idx="5">
                  <c:v>37.81</c:v>
                </c:pt>
              </c:numCache>
            </c:numRef>
          </c:val>
          <c:smooth val="0"/>
        </c:ser>
        <c:ser>
          <c:idx val="3"/>
          <c:order val="2"/>
          <c:tx>
            <c:strRef>
              <c:f>Лист1!$D$1</c:f>
              <c:strCache>
                <c:ptCount val="1"/>
                <c:pt idx="0">
                  <c:v>Свердловская область: индекс ПБ - 46,48</c:v>
                </c:pt>
              </c:strCache>
            </c:strRef>
          </c:tx>
          <c:spPr>
            <a:ln w="28575" cap="rnd">
              <a:solidFill>
                <a:srgbClr val="00B050"/>
              </a:solidFill>
              <a:round/>
            </a:ln>
            <a:effectLst/>
          </c:spPr>
          <c:marker>
            <c:symbol val="none"/>
          </c:marker>
          <c:cat>
            <c:numRef>
              <c:f>Лист1!$A$2:$A$7</c:f>
              <c:numCache>
                <c:formatCode>General</c:formatCode>
                <c:ptCount val="6"/>
                <c:pt idx="0">
                  <c:v>1</c:v>
                </c:pt>
                <c:pt idx="1">
                  <c:v>8</c:v>
                </c:pt>
                <c:pt idx="2">
                  <c:v>9</c:v>
                </c:pt>
                <c:pt idx="3">
                  <c:v>11</c:v>
                </c:pt>
                <c:pt idx="4">
                  <c:v>13</c:v>
                </c:pt>
                <c:pt idx="5">
                  <c:v>14</c:v>
                </c:pt>
              </c:numCache>
            </c:numRef>
          </c:cat>
          <c:val>
            <c:numRef>
              <c:f>Лист1!$D$2:$D$7</c:f>
              <c:numCache>
                <c:formatCode>General</c:formatCode>
                <c:ptCount val="6"/>
                <c:pt idx="0">
                  <c:v>46.48</c:v>
                </c:pt>
                <c:pt idx="1">
                  <c:v>46.48</c:v>
                </c:pt>
                <c:pt idx="2">
                  <c:v>46.48</c:v>
                </c:pt>
                <c:pt idx="3">
                  <c:v>46.48</c:v>
                </c:pt>
                <c:pt idx="4">
                  <c:v>46.48</c:v>
                </c:pt>
                <c:pt idx="5">
                  <c:v>46.48</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Лист1!$A$2:$A$7</c:f>
              <c:numCache>
                <c:formatCode>General</c:formatCode>
                <c:ptCount val="6"/>
                <c:pt idx="0">
                  <c:v>1</c:v>
                </c:pt>
                <c:pt idx="1">
                  <c:v>8</c:v>
                </c:pt>
                <c:pt idx="2">
                  <c:v>9</c:v>
                </c:pt>
                <c:pt idx="3">
                  <c:v>11</c:v>
                </c:pt>
                <c:pt idx="4">
                  <c:v>13</c:v>
                </c:pt>
                <c:pt idx="5">
                  <c:v>14</c:v>
                </c:pt>
              </c:numCache>
            </c:numRef>
          </c:cat>
          <c:val>
            <c:numRef>
              <c:f>Лист1!$E$2:$E$7</c:f>
              <c:numCache>
                <c:formatCode>General</c:formatCode>
                <c:ptCount val="6"/>
              </c:numCache>
            </c:numRef>
          </c:val>
          <c:smooth val="0"/>
        </c:ser>
        <c:dLbls>
          <c:showLegendKey val="0"/>
          <c:showVal val="0"/>
          <c:showCatName val="0"/>
          <c:showSerName val="0"/>
          <c:showPercent val="0"/>
          <c:showBubbleSize val="0"/>
        </c:dLbls>
        <c:marker val="1"/>
        <c:smooth val="0"/>
        <c:axId val="296985840"/>
        <c:axId val="296986232"/>
      </c:lineChart>
      <c:catAx>
        <c:axId val="29698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86232"/>
        <c:crosses val="autoZero"/>
        <c:auto val="1"/>
        <c:lblAlgn val="ctr"/>
        <c:lblOffset val="100"/>
        <c:noMultiLvlLbl val="0"/>
      </c:catAx>
      <c:valAx>
        <c:axId val="296986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85840"/>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PT Astra Serif" panose="020A0603040505020204" pitchFamily="18" charset="-52"/>
                <a:ea typeface="PT Astra Serif" panose="020A0603040505020204" pitchFamily="18" charset="-52"/>
              </a:rPr>
              <a:t>Распределение</a:t>
            </a:r>
            <a:r>
              <a:rPr lang="ru-RU" sz="12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Физика.</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00B050"/>
              </a:solidFill>
              <a:ln>
                <a:noFill/>
              </a:ln>
              <a:effectLst/>
            </c:spPr>
          </c:dPt>
          <c:dPt>
            <c:idx val="1"/>
            <c:invertIfNegative val="0"/>
            <c:bubble3D val="0"/>
            <c:spPr>
              <a:solidFill>
                <a:srgbClr val="00B050"/>
              </a:solidFill>
              <a:ln>
                <a:noFill/>
              </a:ln>
              <a:effectLst/>
            </c:spPr>
          </c:dPt>
          <c:dPt>
            <c:idx val="2"/>
            <c:invertIfNegative val="0"/>
            <c:bubble3D val="0"/>
            <c:spPr>
              <a:solidFill>
                <a:schemeClr val="bg2">
                  <a:lumMod val="50000"/>
                </a:schemeClr>
              </a:solidFill>
              <a:ln>
                <a:noFill/>
              </a:ln>
              <a:effectLst/>
            </c:spPr>
          </c:dPt>
          <c:dPt>
            <c:idx val="3"/>
            <c:invertIfNegative val="0"/>
            <c:bubble3D val="0"/>
            <c:spPr>
              <a:solidFill>
                <a:srgbClr val="FF0000"/>
              </a:solidFill>
              <a:ln>
                <a:noFill/>
              </a:ln>
              <a:effectLst/>
            </c:spPr>
          </c:dPt>
          <c:dPt>
            <c:idx val="4"/>
            <c:invertIfNegative val="0"/>
            <c:bubble3D val="0"/>
            <c:spPr>
              <a:solidFill>
                <a:srgbClr val="00B050"/>
              </a:solidFill>
              <a:ln>
                <a:noFill/>
              </a:ln>
              <a:effectLst/>
            </c:spPr>
          </c:dPt>
          <c:dPt>
            <c:idx val="5"/>
            <c:invertIfNegative val="0"/>
            <c:bubble3D val="0"/>
            <c:spPr>
              <a:solidFill>
                <a:srgbClr val="00B050"/>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5"/>
              <c:layout>
                <c:manualLayout>
                  <c:x val="9.0588827377956656E-3"/>
                  <c:y val="1.7190991920233798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2511323603422231E-2"/>
                      <c:h val="5.776173285198556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8</c:v>
                </c:pt>
                <c:pt idx="2">
                  <c:v>9</c:v>
                </c:pt>
                <c:pt idx="3">
                  <c:v>11</c:v>
                </c:pt>
                <c:pt idx="4">
                  <c:v>13</c:v>
                </c:pt>
                <c:pt idx="5">
                  <c:v>14</c:v>
                </c:pt>
              </c:numCache>
            </c:numRef>
          </c:cat>
          <c:val>
            <c:numRef>
              <c:f>Лист1!$B$2:$B$7</c:f>
              <c:numCache>
                <c:formatCode>General</c:formatCode>
                <c:ptCount val="6"/>
                <c:pt idx="0">
                  <c:v>51.11</c:v>
                </c:pt>
                <c:pt idx="1">
                  <c:v>51.39</c:v>
                </c:pt>
                <c:pt idx="2">
                  <c:v>45.06</c:v>
                </c:pt>
                <c:pt idx="3">
                  <c:v>37</c:v>
                </c:pt>
                <c:pt idx="4">
                  <c:v>62.96</c:v>
                </c:pt>
                <c:pt idx="5">
                  <c:v>49.38</c:v>
                </c:pt>
              </c:numCache>
            </c:numRef>
          </c:val>
        </c:ser>
        <c:dLbls>
          <c:showLegendKey val="0"/>
          <c:showVal val="0"/>
          <c:showCatName val="0"/>
          <c:showSerName val="0"/>
          <c:showPercent val="0"/>
          <c:showBubbleSize val="0"/>
        </c:dLbls>
        <c:gapWidth val="219"/>
        <c:overlap val="-27"/>
        <c:axId val="296987016"/>
        <c:axId val="296987408"/>
      </c:barChart>
      <c:lineChart>
        <c:grouping val="standard"/>
        <c:varyColors val="0"/>
        <c:ser>
          <c:idx val="2"/>
          <c:order val="1"/>
          <c:tx>
            <c:strRef>
              <c:f>Лист1!$C$1</c:f>
              <c:strCache>
                <c:ptCount val="1"/>
                <c:pt idx="0">
                  <c:v>Североуральский ГО: индекс ПБ - 46,38</c:v>
                </c:pt>
              </c:strCache>
            </c:strRef>
          </c:tx>
          <c:spPr>
            <a:ln w="28575" cap="rnd">
              <a:solidFill>
                <a:srgbClr val="7030A0"/>
              </a:solidFill>
              <a:round/>
            </a:ln>
            <a:effectLst/>
          </c:spPr>
          <c:marker>
            <c:symbol val="none"/>
          </c:marker>
          <c:cat>
            <c:numRef>
              <c:f>Лист1!$A$2:$A$7</c:f>
              <c:numCache>
                <c:formatCode>General</c:formatCode>
                <c:ptCount val="6"/>
                <c:pt idx="0">
                  <c:v>1</c:v>
                </c:pt>
                <c:pt idx="1">
                  <c:v>8</c:v>
                </c:pt>
                <c:pt idx="2">
                  <c:v>9</c:v>
                </c:pt>
                <c:pt idx="3">
                  <c:v>11</c:v>
                </c:pt>
                <c:pt idx="4">
                  <c:v>13</c:v>
                </c:pt>
                <c:pt idx="5">
                  <c:v>14</c:v>
                </c:pt>
              </c:numCache>
            </c:numRef>
          </c:cat>
          <c:val>
            <c:numRef>
              <c:f>Лист1!$C$2:$C$7</c:f>
              <c:numCache>
                <c:formatCode>General</c:formatCode>
                <c:ptCount val="6"/>
                <c:pt idx="0">
                  <c:v>46.38</c:v>
                </c:pt>
                <c:pt idx="1">
                  <c:v>46.38</c:v>
                </c:pt>
                <c:pt idx="2">
                  <c:v>46.38</c:v>
                </c:pt>
                <c:pt idx="3">
                  <c:v>46.38</c:v>
                </c:pt>
                <c:pt idx="4">
                  <c:v>46.38</c:v>
                </c:pt>
                <c:pt idx="5">
                  <c:v>46.38</c:v>
                </c:pt>
              </c:numCache>
            </c:numRef>
          </c:val>
          <c:smooth val="0"/>
        </c:ser>
        <c:ser>
          <c:idx val="3"/>
          <c:order val="2"/>
          <c:tx>
            <c:strRef>
              <c:f>Лист1!$D$1</c:f>
              <c:strCache>
                <c:ptCount val="1"/>
                <c:pt idx="0">
                  <c:v>Свердловская область: индекс ПБ - 49,91</c:v>
                </c:pt>
              </c:strCache>
            </c:strRef>
          </c:tx>
          <c:spPr>
            <a:ln w="28575" cap="rnd">
              <a:solidFill>
                <a:srgbClr val="00B050"/>
              </a:solidFill>
              <a:round/>
            </a:ln>
            <a:effectLst/>
          </c:spPr>
          <c:marker>
            <c:symbol val="none"/>
          </c:marker>
          <c:cat>
            <c:numRef>
              <c:f>Лист1!$A$2:$A$7</c:f>
              <c:numCache>
                <c:formatCode>General</c:formatCode>
                <c:ptCount val="6"/>
                <c:pt idx="0">
                  <c:v>1</c:v>
                </c:pt>
                <c:pt idx="1">
                  <c:v>8</c:v>
                </c:pt>
                <c:pt idx="2">
                  <c:v>9</c:v>
                </c:pt>
                <c:pt idx="3">
                  <c:v>11</c:v>
                </c:pt>
                <c:pt idx="4">
                  <c:v>13</c:v>
                </c:pt>
                <c:pt idx="5">
                  <c:v>14</c:v>
                </c:pt>
              </c:numCache>
            </c:numRef>
          </c:cat>
          <c:val>
            <c:numRef>
              <c:f>Лист1!$D$2:$D$7</c:f>
              <c:numCache>
                <c:formatCode>General</c:formatCode>
                <c:ptCount val="6"/>
                <c:pt idx="0">
                  <c:v>49.91</c:v>
                </c:pt>
                <c:pt idx="1">
                  <c:v>49.91</c:v>
                </c:pt>
                <c:pt idx="2">
                  <c:v>49.91</c:v>
                </c:pt>
                <c:pt idx="3">
                  <c:v>49.91</c:v>
                </c:pt>
                <c:pt idx="4">
                  <c:v>49.91</c:v>
                </c:pt>
                <c:pt idx="5">
                  <c:v>49.91</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Лист1!$A$2:$A$7</c:f>
              <c:numCache>
                <c:formatCode>General</c:formatCode>
                <c:ptCount val="6"/>
                <c:pt idx="0">
                  <c:v>1</c:v>
                </c:pt>
                <c:pt idx="1">
                  <c:v>8</c:v>
                </c:pt>
                <c:pt idx="2">
                  <c:v>9</c:v>
                </c:pt>
                <c:pt idx="3">
                  <c:v>11</c:v>
                </c:pt>
                <c:pt idx="4">
                  <c:v>13</c:v>
                </c:pt>
                <c:pt idx="5">
                  <c:v>14</c:v>
                </c:pt>
              </c:numCache>
            </c:numRef>
          </c:cat>
          <c:val>
            <c:numRef>
              <c:f>Лист1!$E$2:$E$7</c:f>
              <c:numCache>
                <c:formatCode>General</c:formatCode>
                <c:ptCount val="6"/>
              </c:numCache>
            </c:numRef>
          </c:val>
          <c:smooth val="0"/>
        </c:ser>
        <c:dLbls>
          <c:showLegendKey val="0"/>
          <c:showVal val="0"/>
          <c:showCatName val="0"/>
          <c:showSerName val="0"/>
          <c:showPercent val="0"/>
          <c:showBubbleSize val="0"/>
        </c:dLbls>
        <c:marker val="1"/>
        <c:smooth val="0"/>
        <c:axId val="296987016"/>
        <c:axId val="296987408"/>
      </c:lineChart>
      <c:catAx>
        <c:axId val="29698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87408"/>
        <c:crosses val="autoZero"/>
        <c:auto val="1"/>
        <c:lblAlgn val="ctr"/>
        <c:lblOffset val="100"/>
        <c:noMultiLvlLbl val="0"/>
      </c:catAx>
      <c:valAx>
        <c:axId val="29698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87016"/>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300" b="1" i="1">
                <a:solidFill>
                  <a:srgbClr val="7030A0"/>
                </a:solidFill>
                <a:latin typeface="PT Astra Serif" panose="020A0603040505020204" pitchFamily="18" charset="-52"/>
                <a:ea typeface="PT Astra Serif" panose="020A0603040505020204" pitchFamily="18" charset="-52"/>
              </a:rPr>
              <a:t>Распределение</a:t>
            </a:r>
            <a:r>
              <a:rPr lang="ru-RU" sz="13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Химия</a:t>
            </a:r>
            <a:r>
              <a:rPr lang="ru-RU" sz="1200" b="1" i="1" baseline="0">
                <a:solidFill>
                  <a:srgbClr val="7030A0"/>
                </a:solidFill>
                <a:latin typeface="PT Astra Serif" panose="020A0603040505020204" pitchFamily="18" charset="-52"/>
                <a:ea typeface="PT Astra Serif" panose="020A0603040505020204" pitchFamily="18" charset="-52"/>
              </a:rPr>
              <a:t>.</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FF0000"/>
              </a:solidFill>
              <a:ln>
                <a:noFill/>
              </a:ln>
              <a:effectLst/>
            </c:spPr>
          </c:dPt>
          <c:dPt>
            <c:idx val="1"/>
            <c:invertIfNegative val="0"/>
            <c:bubble3D val="0"/>
            <c:spPr>
              <a:solidFill>
                <a:srgbClr val="00B050"/>
              </a:solidFill>
              <a:ln>
                <a:noFill/>
              </a:ln>
              <a:effectLst/>
            </c:spPr>
          </c:dPt>
          <c:dPt>
            <c:idx val="2"/>
            <c:invertIfNegative val="0"/>
            <c:bubble3D val="0"/>
            <c:spPr>
              <a:solidFill>
                <a:srgbClr val="FF0000"/>
              </a:solidFill>
              <a:ln>
                <a:noFill/>
              </a:ln>
              <a:effectLst/>
            </c:spPr>
          </c:dPt>
          <c:dPt>
            <c:idx val="3"/>
            <c:invertIfNegative val="0"/>
            <c:bubble3D val="0"/>
            <c:spPr>
              <a:solidFill>
                <a:schemeClr val="bg2">
                  <a:lumMod val="50000"/>
                </a:schemeClr>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1</c:v>
                </c:pt>
                <c:pt idx="1">
                  <c:v>9</c:v>
                </c:pt>
                <c:pt idx="2">
                  <c:v>11</c:v>
                </c:pt>
                <c:pt idx="3">
                  <c:v>13</c:v>
                </c:pt>
              </c:numCache>
            </c:numRef>
          </c:cat>
          <c:val>
            <c:numRef>
              <c:f>Лист1!$B$2:$B$5</c:f>
              <c:numCache>
                <c:formatCode>General</c:formatCode>
                <c:ptCount val="4"/>
                <c:pt idx="0">
                  <c:v>14.28</c:v>
                </c:pt>
                <c:pt idx="1">
                  <c:v>52.76</c:v>
                </c:pt>
                <c:pt idx="2">
                  <c:v>25</c:v>
                </c:pt>
                <c:pt idx="3">
                  <c:v>48.81</c:v>
                </c:pt>
              </c:numCache>
            </c:numRef>
          </c:val>
        </c:ser>
        <c:dLbls>
          <c:showLegendKey val="0"/>
          <c:showVal val="0"/>
          <c:showCatName val="0"/>
          <c:showSerName val="0"/>
          <c:showPercent val="0"/>
          <c:showBubbleSize val="0"/>
        </c:dLbls>
        <c:gapWidth val="219"/>
        <c:overlap val="-27"/>
        <c:axId val="296988192"/>
        <c:axId val="296988584"/>
      </c:barChart>
      <c:lineChart>
        <c:grouping val="standard"/>
        <c:varyColors val="0"/>
        <c:ser>
          <c:idx val="2"/>
          <c:order val="1"/>
          <c:tx>
            <c:strRef>
              <c:f>Лист1!$C$1</c:f>
              <c:strCache>
                <c:ptCount val="1"/>
                <c:pt idx="0">
                  <c:v>Североуральский ГО: индекс ПБ - 47,88</c:v>
                </c:pt>
              </c:strCache>
            </c:strRef>
          </c:tx>
          <c:spPr>
            <a:ln w="28575" cap="rnd">
              <a:solidFill>
                <a:srgbClr val="7030A0"/>
              </a:solidFill>
              <a:round/>
            </a:ln>
            <a:effectLst/>
          </c:spPr>
          <c:marker>
            <c:symbol val="none"/>
          </c:marker>
          <c:cat>
            <c:numRef>
              <c:f>Лист1!$A$2:$A$5</c:f>
              <c:numCache>
                <c:formatCode>General</c:formatCode>
                <c:ptCount val="4"/>
                <c:pt idx="0">
                  <c:v>1</c:v>
                </c:pt>
                <c:pt idx="1">
                  <c:v>9</c:v>
                </c:pt>
                <c:pt idx="2">
                  <c:v>11</c:v>
                </c:pt>
                <c:pt idx="3">
                  <c:v>13</c:v>
                </c:pt>
              </c:numCache>
            </c:numRef>
          </c:cat>
          <c:val>
            <c:numRef>
              <c:f>Лист1!$C$2:$C$5</c:f>
              <c:numCache>
                <c:formatCode>General</c:formatCode>
                <c:ptCount val="4"/>
                <c:pt idx="0">
                  <c:v>47.88</c:v>
                </c:pt>
                <c:pt idx="1">
                  <c:v>47.88</c:v>
                </c:pt>
                <c:pt idx="2">
                  <c:v>47.88</c:v>
                </c:pt>
                <c:pt idx="3">
                  <c:v>47.88</c:v>
                </c:pt>
              </c:numCache>
            </c:numRef>
          </c:val>
          <c:smooth val="0"/>
        </c:ser>
        <c:ser>
          <c:idx val="3"/>
          <c:order val="2"/>
          <c:tx>
            <c:strRef>
              <c:f>Лист1!$D$1</c:f>
              <c:strCache>
                <c:ptCount val="1"/>
                <c:pt idx="0">
                  <c:v>Свердловская область: индекс ПБ - 55,0</c:v>
                </c:pt>
              </c:strCache>
            </c:strRef>
          </c:tx>
          <c:spPr>
            <a:ln w="28575" cap="rnd">
              <a:solidFill>
                <a:srgbClr val="00B050"/>
              </a:solidFill>
              <a:round/>
            </a:ln>
            <a:effectLst/>
          </c:spPr>
          <c:marker>
            <c:symbol val="none"/>
          </c:marker>
          <c:cat>
            <c:numRef>
              <c:f>Лист1!$A$2:$A$5</c:f>
              <c:numCache>
                <c:formatCode>General</c:formatCode>
                <c:ptCount val="4"/>
                <c:pt idx="0">
                  <c:v>1</c:v>
                </c:pt>
                <c:pt idx="1">
                  <c:v>9</c:v>
                </c:pt>
                <c:pt idx="2">
                  <c:v>11</c:v>
                </c:pt>
                <c:pt idx="3">
                  <c:v>13</c:v>
                </c:pt>
              </c:numCache>
            </c:numRef>
          </c:cat>
          <c:val>
            <c:numRef>
              <c:f>Лист1!$D$2:$D$5</c:f>
              <c:numCache>
                <c:formatCode>General</c:formatCode>
                <c:ptCount val="4"/>
                <c:pt idx="0">
                  <c:v>55</c:v>
                </c:pt>
                <c:pt idx="1">
                  <c:v>55</c:v>
                </c:pt>
                <c:pt idx="2">
                  <c:v>55</c:v>
                </c:pt>
                <c:pt idx="3">
                  <c:v>55</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Лист1!$A$2:$A$5</c:f>
              <c:numCache>
                <c:formatCode>General</c:formatCode>
                <c:ptCount val="4"/>
                <c:pt idx="0">
                  <c:v>1</c:v>
                </c:pt>
                <c:pt idx="1">
                  <c:v>9</c:v>
                </c:pt>
                <c:pt idx="2">
                  <c:v>11</c:v>
                </c:pt>
                <c:pt idx="3">
                  <c:v>13</c:v>
                </c:pt>
              </c:numCache>
            </c:numRef>
          </c:cat>
          <c:val>
            <c:numRef>
              <c:f>Лист1!$E$2:$E$5</c:f>
              <c:numCache>
                <c:formatCode>General</c:formatCode>
                <c:ptCount val="4"/>
              </c:numCache>
            </c:numRef>
          </c:val>
          <c:smooth val="0"/>
        </c:ser>
        <c:dLbls>
          <c:showLegendKey val="0"/>
          <c:showVal val="0"/>
          <c:showCatName val="0"/>
          <c:showSerName val="0"/>
          <c:showPercent val="0"/>
          <c:showBubbleSize val="0"/>
        </c:dLbls>
        <c:marker val="1"/>
        <c:smooth val="0"/>
        <c:axId val="296988192"/>
        <c:axId val="296988584"/>
      </c:lineChart>
      <c:catAx>
        <c:axId val="29698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88584"/>
        <c:crosses val="autoZero"/>
        <c:auto val="1"/>
        <c:lblAlgn val="ctr"/>
        <c:lblOffset val="100"/>
        <c:noMultiLvlLbl val="0"/>
      </c:catAx>
      <c:valAx>
        <c:axId val="296988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88192"/>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PT Astra Serif" panose="020A0603040505020204" pitchFamily="18" charset="-52"/>
                <a:ea typeface="PT Astra Serif" panose="020A0603040505020204" pitchFamily="18" charset="-52"/>
              </a:rPr>
              <a:t>Распределение</a:t>
            </a:r>
            <a:r>
              <a:rPr lang="ru-RU" sz="12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Биология.</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FF0000"/>
              </a:solidFill>
              <a:ln>
                <a:noFill/>
              </a:ln>
              <a:effectLst/>
            </c:spPr>
          </c:dPt>
          <c:dPt>
            <c:idx val="1"/>
            <c:invertIfNegative val="0"/>
            <c:bubble3D val="0"/>
            <c:spPr>
              <a:solidFill>
                <a:srgbClr val="FF0000"/>
              </a:solidFill>
              <a:ln>
                <a:noFill/>
              </a:ln>
              <a:effectLst/>
            </c:spPr>
          </c:dPt>
          <c:dPt>
            <c:idx val="2"/>
            <c:invertIfNegative val="0"/>
            <c:bubble3D val="0"/>
            <c:spPr>
              <a:solidFill>
                <a:srgbClr val="00B050"/>
              </a:solidFill>
              <a:ln>
                <a:noFill/>
              </a:ln>
              <a:effectLst/>
            </c:spPr>
          </c:dPt>
          <c:dPt>
            <c:idx val="3"/>
            <c:invertIfNegative val="0"/>
            <c:bubble3D val="0"/>
            <c:spPr>
              <a:solidFill>
                <a:schemeClr val="bg2">
                  <a:lumMod val="50000"/>
                </a:schemeClr>
              </a:solidFill>
              <a:ln>
                <a:noFill/>
              </a:ln>
              <a:effectLst/>
            </c:spPr>
          </c:dPt>
          <c:dPt>
            <c:idx val="4"/>
            <c:invertIfNegative val="0"/>
            <c:bubble3D val="0"/>
            <c:spPr>
              <a:solidFill>
                <a:schemeClr val="bg2">
                  <a:lumMod val="50000"/>
                </a:schemeClr>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8</c:v>
                </c:pt>
                <c:pt idx="2">
                  <c:v>9</c:v>
                </c:pt>
                <c:pt idx="3">
                  <c:v>11</c:v>
                </c:pt>
                <c:pt idx="4">
                  <c:v>13</c:v>
                </c:pt>
              </c:numCache>
            </c:numRef>
          </c:cat>
          <c:val>
            <c:numRef>
              <c:f>Лист1!$B$2:$B$6</c:f>
              <c:numCache>
                <c:formatCode>General</c:formatCode>
                <c:ptCount val="5"/>
                <c:pt idx="0">
                  <c:v>29.24</c:v>
                </c:pt>
                <c:pt idx="1">
                  <c:v>28.81</c:v>
                </c:pt>
                <c:pt idx="2">
                  <c:v>50</c:v>
                </c:pt>
                <c:pt idx="3">
                  <c:v>42.8</c:v>
                </c:pt>
                <c:pt idx="4">
                  <c:v>44.07</c:v>
                </c:pt>
              </c:numCache>
            </c:numRef>
          </c:val>
        </c:ser>
        <c:dLbls>
          <c:showLegendKey val="0"/>
          <c:showVal val="0"/>
          <c:showCatName val="0"/>
          <c:showSerName val="0"/>
          <c:showPercent val="0"/>
          <c:showBubbleSize val="0"/>
        </c:dLbls>
        <c:gapWidth val="219"/>
        <c:overlap val="-27"/>
        <c:axId val="296989368"/>
        <c:axId val="296989760"/>
      </c:barChart>
      <c:lineChart>
        <c:grouping val="standard"/>
        <c:varyColors val="0"/>
        <c:ser>
          <c:idx val="2"/>
          <c:order val="1"/>
          <c:tx>
            <c:strRef>
              <c:f>Лист1!$C$1</c:f>
              <c:strCache>
                <c:ptCount val="1"/>
                <c:pt idx="0">
                  <c:v>Североуральский ГО: индекс ПБ - 43,08</c:v>
                </c:pt>
              </c:strCache>
            </c:strRef>
          </c:tx>
          <c:spPr>
            <a:ln w="28575" cap="rnd">
              <a:solidFill>
                <a:srgbClr val="7030A0"/>
              </a:solidFill>
              <a:round/>
            </a:ln>
            <a:effectLst/>
          </c:spPr>
          <c:marker>
            <c:symbol val="none"/>
          </c:marker>
          <c:cat>
            <c:numRef>
              <c:f>Лист1!$A$2:$A$6</c:f>
              <c:numCache>
                <c:formatCode>General</c:formatCode>
                <c:ptCount val="5"/>
                <c:pt idx="0">
                  <c:v>1</c:v>
                </c:pt>
                <c:pt idx="1">
                  <c:v>8</c:v>
                </c:pt>
                <c:pt idx="2">
                  <c:v>9</c:v>
                </c:pt>
                <c:pt idx="3">
                  <c:v>11</c:v>
                </c:pt>
                <c:pt idx="4">
                  <c:v>13</c:v>
                </c:pt>
              </c:numCache>
            </c:numRef>
          </c:cat>
          <c:val>
            <c:numRef>
              <c:f>Лист1!$C$2:$C$6</c:f>
              <c:numCache>
                <c:formatCode>General</c:formatCode>
                <c:ptCount val="5"/>
                <c:pt idx="0">
                  <c:v>43.08</c:v>
                </c:pt>
                <c:pt idx="1">
                  <c:v>43.08</c:v>
                </c:pt>
                <c:pt idx="2">
                  <c:v>43.08</c:v>
                </c:pt>
                <c:pt idx="3">
                  <c:v>43.08</c:v>
                </c:pt>
                <c:pt idx="4">
                  <c:v>43.08</c:v>
                </c:pt>
              </c:numCache>
            </c:numRef>
          </c:val>
          <c:smooth val="0"/>
        </c:ser>
        <c:ser>
          <c:idx val="3"/>
          <c:order val="2"/>
          <c:tx>
            <c:strRef>
              <c:f>Лист1!$D$1</c:f>
              <c:strCache>
                <c:ptCount val="1"/>
                <c:pt idx="0">
                  <c:v>Свердловская область: индекс ПБ - 47,6</c:v>
                </c:pt>
              </c:strCache>
            </c:strRef>
          </c:tx>
          <c:spPr>
            <a:ln w="28575" cap="rnd">
              <a:solidFill>
                <a:srgbClr val="00B050"/>
              </a:solidFill>
              <a:round/>
            </a:ln>
            <a:effectLst/>
          </c:spPr>
          <c:marker>
            <c:symbol val="none"/>
          </c:marker>
          <c:cat>
            <c:numRef>
              <c:f>Лист1!$A$2:$A$6</c:f>
              <c:numCache>
                <c:formatCode>General</c:formatCode>
                <c:ptCount val="5"/>
                <c:pt idx="0">
                  <c:v>1</c:v>
                </c:pt>
                <c:pt idx="1">
                  <c:v>8</c:v>
                </c:pt>
                <c:pt idx="2">
                  <c:v>9</c:v>
                </c:pt>
                <c:pt idx="3">
                  <c:v>11</c:v>
                </c:pt>
                <c:pt idx="4">
                  <c:v>13</c:v>
                </c:pt>
              </c:numCache>
            </c:numRef>
          </c:cat>
          <c:val>
            <c:numRef>
              <c:f>Лист1!$D$2:$D$6</c:f>
              <c:numCache>
                <c:formatCode>General</c:formatCode>
                <c:ptCount val="5"/>
                <c:pt idx="0">
                  <c:v>47.6</c:v>
                </c:pt>
                <c:pt idx="1">
                  <c:v>47.6</c:v>
                </c:pt>
                <c:pt idx="2">
                  <c:v>47.6</c:v>
                </c:pt>
                <c:pt idx="3">
                  <c:v>47.6</c:v>
                </c:pt>
                <c:pt idx="4">
                  <c:v>47.6</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Лист1!$A$2:$A$6</c:f>
              <c:numCache>
                <c:formatCode>General</c:formatCode>
                <c:ptCount val="5"/>
                <c:pt idx="0">
                  <c:v>1</c:v>
                </c:pt>
                <c:pt idx="1">
                  <c:v>8</c:v>
                </c:pt>
                <c:pt idx="2">
                  <c:v>9</c:v>
                </c:pt>
                <c:pt idx="3">
                  <c:v>11</c:v>
                </c:pt>
                <c:pt idx="4">
                  <c:v>13</c:v>
                </c:pt>
              </c:numCache>
            </c:numRef>
          </c:cat>
          <c:val>
            <c:numRef>
              <c:f>Лист1!$E$2:$E$6</c:f>
              <c:numCache>
                <c:formatCode>General</c:formatCode>
                <c:ptCount val="5"/>
              </c:numCache>
            </c:numRef>
          </c:val>
          <c:smooth val="0"/>
        </c:ser>
        <c:dLbls>
          <c:showLegendKey val="0"/>
          <c:showVal val="0"/>
          <c:showCatName val="0"/>
          <c:showSerName val="0"/>
          <c:showPercent val="0"/>
          <c:showBubbleSize val="0"/>
        </c:dLbls>
        <c:marker val="1"/>
        <c:smooth val="0"/>
        <c:axId val="296989368"/>
        <c:axId val="296989760"/>
      </c:lineChart>
      <c:catAx>
        <c:axId val="29698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89760"/>
        <c:crosses val="autoZero"/>
        <c:auto val="1"/>
        <c:lblAlgn val="ctr"/>
        <c:lblOffset val="100"/>
        <c:noMultiLvlLbl val="0"/>
      </c:catAx>
      <c:valAx>
        <c:axId val="29698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89368"/>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300" b="1" i="1">
                <a:solidFill>
                  <a:srgbClr val="7030A0"/>
                </a:solidFill>
                <a:latin typeface="PT Astra Serif" panose="020A0603040505020204" pitchFamily="18" charset="-52"/>
                <a:ea typeface="PT Astra Serif" panose="020A0603040505020204" pitchFamily="18" charset="-52"/>
              </a:rPr>
              <a:t>Распределение</a:t>
            </a:r>
            <a:r>
              <a:rPr lang="ru-RU" sz="1300" b="1" i="1" baseline="0">
                <a:solidFill>
                  <a:srgbClr val="7030A0"/>
                </a:solidFill>
                <a:latin typeface="PT Astra Serif" panose="020A0603040505020204" pitchFamily="18" charset="-52"/>
                <a:ea typeface="PT Astra Serif" panose="020A0603040505020204" pitchFamily="18" charset="-52"/>
              </a:rPr>
              <a:t> по индексам первичных баллов по итогам ЕГЭ-2023. География.</a:t>
            </a:r>
            <a:endParaRPr lang="ru-RU" sz="1200" b="1" i="1">
              <a:solidFill>
                <a:srgbClr val="7030A0"/>
              </a:solidFill>
              <a:latin typeface="PT Astra Serif" panose="020A0603040505020204" pitchFamily="18" charset="-52"/>
              <a:ea typeface="PT Astra Serif" panose="020A0603040505020204" pitchFamily="18" charset="-52"/>
            </a:endParaRPr>
          </a:p>
        </c:rich>
      </c:tx>
      <c:layout>
        <c:manualLayout>
          <c:xMode val="edge"/>
          <c:yMode val="edge"/>
          <c:x val="0.14138403560148841"/>
          <c:y val="2.062919030428055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730259111958699E-2"/>
          <c:y val="0.1496553203223138"/>
          <c:w val="0.92517071580314703"/>
          <c:h val="0.62236393160441084"/>
        </c:manualLayout>
      </c:layout>
      <c:barChart>
        <c:barDir val="col"/>
        <c:grouping val="clustered"/>
        <c:varyColors val="0"/>
        <c:ser>
          <c:idx val="0"/>
          <c:order val="0"/>
          <c:tx>
            <c:strRef>
              <c:f>Лист1!$B$1</c:f>
              <c:strCache>
                <c:ptCount val="1"/>
                <c:pt idx="0">
                  <c:v>школы: индекс ПБ</c:v>
                </c:pt>
              </c:strCache>
            </c:strRef>
          </c:tx>
          <c:spPr>
            <a:solidFill>
              <a:schemeClr val="tx1"/>
            </a:solidFill>
            <a:ln>
              <a:noFill/>
            </a:ln>
            <a:effectLst/>
          </c:spPr>
          <c:invertIfNegative val="0"/>
          <c:dPt>
            <c:idx val="0"/>
            <c:invertIfNegative val="0"/>
            <c:bubble3D val="0"/>
            <c:spPr>
              <a:solidFill>
                <a:srgbClr val="00B050"/>
              </a:solidFill>
              <a:ln>
                <a:noFill/>
              </a:ln>
              <a:effectLst/>
            </c:spPr>
          </c:dPt>
          <c:dPt>
            <c:idx val="1"/>
            <c:invertIfNegative val="0"/>
            <c:bubble3D val="0"/>
            <c:spPr>
              <a:solidFill>
                <a:srgbClr val="00B050"/>
              </a:solidFill>
              <a:ln>
                <a:noFill/>
              </a:ln>
              <a:effectLst/>
            </c:spPr>
          </c:dPt>
          <c:dPt>
            <c:idx val="2"/>
            <c:invertIfNegative val="0"/>
            <c:bubble3D val="0"/>
            <c:spPr>
              <a:solidFill>
                <a:srgbClr val="FF0000"/>
              </a:solidFill>
              <a:ln>
                <a:noFill/>
              </a:ln>
              <a:effectLst/>
            </c:spPr>
          </c:dPt>
          <c:dPt>
            <c:idx val="3"/>
            <c:invertIfNegative val="0"/>
            <c:bubble3D val="0"/>
            <c:spPr>
              <a:solidFill>
                <a:schemeClr val="bg2">
                  <a:lumMod val="50000"/>
                </a:schemeClr>
              </a:solidFill>
              <a:ln>
                <a:noFill/>
              </a:ln>
              <a:effectLst/>
            </c:spPr>
          </c:dPt>
          <c:dLbls>
            <c:dLbl>
              <c:idx val="2"/>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9</c:v>
                </c:pt>
                <c:pt idx="1">
                  <c:v>11</c:v>
                </c:pt>
                <c:pt idx="2">
                  <c:v>13</c:v>
                </c:pt>
                <c:pt idx="3">
                  <c:v>14</c:v>
                </c:pt>
              </c:numCache>
            </c:numRef>
          </c:cat>
          <c:val>
            <c:numRef>
              <c:f>Лист1!$B$2:$B$5</c:f>
              <c:numCache>
                <c:formatCode>General</c:formatCode>
                <c:ptCount val="4"/>
                <c:pt idx="0">
                  <c:v>67.44</c:v>
                </c:pt>
                <c:pt idx="1">
                  <c:v>69.77</c:v>
                </c:pt>
                <c:pt idx="2">
                  <c:v>58.14</c:v>
                </c:pt>
                <c:pt idx="3">
                  <c:v>62.79</c:v>
                </c:pt>
              </c:numCache>
            </c:numRef>
          </c:val>
        </c:ser>
        <c:dLbls>
          <c:showLegendKey val="0"/>
          <c:showVal val="0"/>
          <c:showCatName val="0"/>
          <c:showSerName val="0"/>
          <c:showPercent val="0"/>
          <c:showBubbleSize val="0"/>
        </c:dLbls>
        <c:gapWidth val="219"/>
        <c:overlap val="-27"/>
        <c:axId val="296990544"/>
        <c:axId val="296990936"/>
      </c:barChart>
      <c:lineChart>
        <c:grouping val="standard"/>
        <c:varyColors val="0"/>
        <c:ser>
          <c:idx val="2"/>
          <c:order val="1"/>
          <c:tx>
            <c:strRef>
              <c:f>Лист1!$C$1</c:f>
              <c:strCache>
                <c:ptCount val="1"/>
                <c:pt idx="0">
                  <c:v>Североуральский ГО: индекс ПБ - 63,26</c:v>
                </c:pt>
              </c:strCache>
            </c:strRef>
          </c:tx>
          <c:spPr>
            <a:ln w="28575" cap="rnd">
              <a:solidFill>
                <a:srgbClr val="7030A0"/>
              </a:solidFill>
              <a:round/>
            </a:ln>
            <a:effectLst/>
          </c:spPr>
          <c:marker>
            <c:symbol val="none"/>
          </c:marker>
          <c:cat>
            <c:numRef>
              <c:f>Лист1!$A$2:$A$5</c:f>
              <c:numCache>
                <c:formatCode>General</c:formatCode>
                <c:ptCount val="4"/>
                <c:pt idx="0">
                  <c:v>9</c:v>
                </c:pt>
                <c:pt idx="1">
                  <c:v>11</c:v>
                </c:pt>
                <c:pt idx="2">
                  <c:v>13</c:v>
                </c:pt>
                <c:pt idx="3">
                  <c:v>14</c:v>
                </c:pt>
              </c:numCache>
            </c:numRef>
          </c:cat>
          <c:val>
            <c:numRef>
              <c:f>Лист1!$C$2:$C$5</c:f>
              <c:numCache>
                <c:formatCode>General</c:formatCode>
                <c:ptCount val="4"/>
                <c:pt idx="0">
                  <c:v>63.26</c:v>
                </c:pt>
                <c:pt idx="1">
                  <c:v>63.26</c:v>
                </c:pt>
                <c:pt idx="2">
                  <c:v>63.36</c:v>
                </c:pt>
                <c:pt idx="3">
                  <c:v>63.26</c:v>
                </c:pt>
              </c:numCache>
            </c:numRef>
          </c:val>
          <c:smooth val="0"/>
        </c:ser>
        <c:ser>
          <c:idx val="3"/>
          <c:order val="2"/>
          <c:tx>
            <c:strRef>
              <c:f>Лист1!$D$1</c:f>
              <c:strCache>
                <c:ptCount val="1"/>
                <c:pt idx="0">
                  <c:v>Свердловская область: индекс ПБ - 53,5</c:v>
                </c:pt>
              </c:strCache>
            </c:strRef>
          </c:tx>
          <c:spPr>
            <a:ln w="28575" cap="rnd">
              <a:solidFill>
                <a:srgbClr val="00B050"/>
              </a:solidFill>
              <a:round/>
            </a:ln>
            <a:effectLst/>
          </c:spPr>
          <c:marker>
            <c:symbol val="none"/>
          </c:marker>
          <c:cat>
            <c:numRef>
              <c:f>Лист1!$A$2:$A$5</c:f>
              <c:numCache>
                <c:formatCode>General</c:formatCode>
                <c:ptCount val="4"/>
                <c:pt idx="0">
                  <c:v>9</c:v>
                </c:pt>
                <c:pt idx="1">
                  <c:v>11</c:v>
                </c:pt>
                <c:pt idx="2">
                  <c:v>13</c:v>
                </c:pt>
                <c:pt idx="3">
                  <c:v>14</c:v>
                </c:pt>
              </c:numCache>
            </c:numRef>
          </c:cat>
          <c:val>
            <c:numRef>
              <c:f>Лист1!$D$2:$D$5</c:f>
              <c:numCache>
                <c:formatCode>General</c:formatCode>
                <c:ptCount val="4"/>
                <c:pt idx="0">
                  <c:v>53.5</c:v>
                </c:pt>
                <c:pt idx="1">
                  <c:v>53.5</c:v>
                </c:pt>
                <c:pt idx="2">
                  <c:v>53.5</c:v>
                </c:pt>
                <c:pt idx="3">
                  <c:v>53.5</c:v>
                </c:pt>
              </c:numCache>
            </c:numRef>
          </c:val>
          <c:smooth val="0"/>
        </c:ser>
        <c:ser>
          <c:idx val="1"/>
          <c:order val="3"/>
          <c:tx>
            <c:strRef>
              <c:f>Лист1!$E$1</c:f>
              <c:strCache>
                <c:ptCount val="1"/>
                <c:pt idx="0">
                  <c:v>Столбец1</c:v>
                </c:pt>
              </c:strCache>
            </c:strRef>
          </c:tx>
          <c:spPr>
            <a:ln w="28575" cap="rnd">
              <a:solidFill>
                <a:schemeClr val="accent2"/>
              </a:solidFill>
              <a:round/>
            </a:ln>
            <a:effectLst/>
          </c:spPr>
          <c:marker>
            <c:symbol val="none"/>
          </c:marker>
          <c:cat>
            <c:numRef>
              <c:f>Лист1!$A$2:$A$5</c:f>
              <c:numCache>
                <c:formatCode>General</c:formatCode>
                <c:ptCount val="4"/>
                <c:pt idx="0">
                  <c:v>9</c:v>
                </c:pt>
                <c:pt idx="1">
                  <c:v>11</c:v>
                </c:pt>
                <c:pt idx="2">
                  <c:v>13</c:v>
                </c:pt>
                <c:pt idx="3">
                  <c:v>14</c:v>
                </c:pt>
              </c:numCache>
            </c:numRef>
          </c:cat>
          <c:val>
            <c:numRef>
              <c:f>Лист1!$E$2:$E$5</c:f>
              <c:numCache>
                <c:formatCode>General</c:formatCode>
                <c:ptCount val="4"/>
              </c:numCache>
            </c:numRef>
          </c:val>
          <c:smooth val="0"/>
        </c:ser>
        <c:dLbls>
          <c:showLegendKey val="0"/>
          <c:showVal val="0"/>
          <c:showCatName val="0"/>
          <c:showSerName val="0"/>
          <c:showPercent val="0"/>
          <c:showBubbleSize val="0"/>
        </c:dLbls>
        <c:marker val="1"/>
        <c:smooth val="0"/>
        <c:axId val="296990544"/>
        <c:axId val="296990936"/>
      </c:lineChart>
      <c:catAx>
        <c:axId val="29699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crossAx val="296990936"/>
        <c:crosses val="autoZero"/>
        <c:auto val="1"/>
        <c:lblAlgn val="ctr"/>
        <c:lblOffset val="100"/>
        <c:noMultiLvlLbl val="0"/>
      </c:catAx>
      <c:valAx>
        <c:axId val="296990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96990544"/>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1"/>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2"/>
        <c:txPr>
          <a:bodyPr rot="0" spcFirstLastPara="1" vertOverflow="ellipsis" vert="horz" wrap="square" anchor="ctr" anchorCtr="1"/>
          <a:lstStyle/>
          <a:p>
            <a:pPr algn="just">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PT Astra Serif" panose="020A0603040505020204" pitchFamily="18" charset="-52"/>
                <a:ea typeface="PT Astra Serif" panose="020A0603040505020204" pitchFamily="18" charset="-52"/>
                <a:cs typeface="+mn-cs"/>
              </a:defRPr>
            </a:pPr>
            <a:endParaRPr lang="ru-RU"/>
          </a:p>
        </c:txPr>
      </c:legendEntry>
      <c:legendEntry>
        <c:idx val="3"/>
        <c:delete val="1"/>
      </c:legendEntry>
      <c:layout>
        <c:manualLayout>
          <c:xMode val="edge"/>
          <c:yMode val="edge"/>
          <c:x val="2.9117293906454945E-2"/>
          <c:y val="0.85551974910104756"/>
          <c:w val="0.94277353981985268"/>
          <c:h val="9.5619573906286115E-2"/>
        </c:manualLayout>
      </c:layout>
      <c:overlay val="0"/>
      <c:spPr>
        <a:noFill/>
        <a:ln>
          <a:noFill/>
        </a:ln>
        <a:effectLst/>
      </c:spPr>
      <c:txPr>
        <a:bodyPr rot="0" spcFirstLastPara="1" vertOverflow="ellipsis" vert="horz" wrap="square" anchor="ctr" anchorCtr="1"/>
        <a:lstStyle/>
        <a:p>
          <a:pPr algn="just">
            <a:defRPr sz="11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2023-10-04T05:35:00Z</dcterms:created>
  <dcterms:modified xsi:type="dcterms:W3CDTF">2023-10-04T05:35:00Z</dcterms:modified>
</cp:coreProperties>
</file>